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013B2" w14:textId="77777777" w:rsidR="003547F8" w:rsidRDefault="003547F8" w:rsidP="00B331C4">
      <w:pPr>
        <w:jc w:val="right"/>
        <w:rPr>
          <w:b/>
          <w:sz w:val="56"/>
          <w:szCs w:val="56"/>
        </w:rPr>
      </w:pPr>
    </w:p>
    <w:p w14:paraId="0C1F263C" w14:textId="2E192206" w:rsidR="00B331C4" w:rsidRPr="003547F8" w:rsidRDefault="00415CD5" w:rsidP="00B331C4">
      <w:pPr>
        <w:jc w:val="right"/>
        <w:rPr>
          <w:b/>
          <w:sz w:val="56"/>
          <w:szCs w:val="56"/>
        </w:rPr>
      </w:pPr>
      <w:r>
        <w:rPr>
          <w:b/>
          <w:sz w:val="56"/>
          <w:szCs w:val="56"/>
        </w:rPr>
        <w:t>Chemical Mixtures</w:t>
      </w:r>
    </w:p>
    <w:p w14:paraId="49D5565E" w14:textId="77777777" w:rsidR="00B331C4" w:rsidRPr="00B331C4" w:rsidRDefault="00B331C4" w:rsidP="00B331C4">
      <w:pPr>
        <w:jc w:val="right"/>
        <w:rPr>
          <w:b/>
          <w:sz w:val="48"/>
          <w:szCs w:val="48"/>
        </w:rPr>
      </w:pPr>
    </w:p>
    <w:p w14:paraId="100B062D" w14:textId="4FDD16DE" w:rsidR="00B331C4" w:rsidRPr="00B331C4" w:rsidRDefault="003547F8" w:rsidP="00B331C4">
      <w:pPr>
        <w:jc w:val="right"/>
        <w:rPr>
          <w:b/>
          <w:sz w:val="40"/>
          <w:szCs w:val="40"/>
        </w:rPr>
      </w:pPr>
      <w:r>
        <w:rPr>
          <w:b/>
          <w:sz w:val="40"/>
          <w:szCs w:val="40"/>
        </w:rPr>
        <w:t>Project Ref.</w:t>
      </w:r>
      <w:r w:rsidR="00415CD5">
        <w:rPr>
          <w:b/>
          <w:sz w:val="40"/>
          <w:szCs w:val="40"/>
        </w:rPr>
        <w:t xml:space="preserve"> EEA/HSR/RO/19/001</w:t>
      </w:r>
      <w:r w:rsidR="00B331C4" w:rsidRPr="00B331C4">
        <w:rPr>
          <w:b/>
          <w:sz w:val="40"/>
          <w:szCs w:val="40"/>
        </w:rPr>
        <w:t xml:space="preserve"> </w:t>
      </w:r>
    </w:p>
    <w:p w14:paraId="76D90314" w14:textId="764A4A1F" w:rsidR="00B331C4" w:rsidRDefault="00B331C4" w:rsidP="00B331C4">
      <w:pPr>
        <w:jc w:val="right"/>
        <w:rPr>
          <w:b/>
          <w:sz w:val="48"/>
          <w:szCs w:val="48"/>
        </w:rPr>
      </w:pPr>
    </w:p>
    <w:p w14:paraId="1B0A8645" w14:textId="0EAD1CAF" w:rsidR="00B331C4" w:rsidRDefault="00B331C4" w:rsidP="00B331C4">
      <w:pPr>
        <w:jc w:val="right"/>
        <w:rPr>
          <w:b/>
          <w:sz w:val="48"/>
          <w:szCs w:val="48"/>
        </w:rPr>
      </w:pPr>
    </w:p>
    <w:p w14:paraId="22321395" w14:textId="77777777" w:rsidR="00B331C4" w:rsidRDefault="00B331C4" w:rsidP="00B331C4">
      <w:pPr>
        <w:jc w:val="right"/>
        <w:rPr>
          <w:b/>
          <w:sz w:val="48"/>
          <w:szCs w:val="48"/>
        </w:rPr>
      </w:pPr>
    </w:p>
    <w:p w14:paraId="352FA155" w14:textId="77777777" w:rsidR="00415CD5" w:rsidRPr="00B331C4" w:rsidRDefault="00415CD5" w:rsidP="00415CD5">
      <w:pPr>
        <w:spacing w:after="0"/>
        <w:jc w:val="right"/>
        <w:rPr>
          <w:b/>
          <w:sz w:val="44"/>
          <w:szCs w:val="44"/>
        </w:rPr>
      </w:pPr>
      <w:r>
        <w:rPr>
          <w:b/>
          <w:sz w:val="44"/>
          <w:szCs w:val="44"/>
        </w:rPr>
        <w:t>Draft Summary Document</w:t>
      </w:r>
    </w:p>
    <w:p w14:paraId="7F4D0720" w14:textId="77777777" w:rsidR="00415CD5" w:rsidRDefault="00415CD5" w:rsidP="00415CD5">
      <w:pPr>
        <w:jc w:val="right"/>
        <w:rPr>
          <w:sz w:val="32"/>
          <w:szCs w:val="32"/>
        </w:rPr>
      </w:pPr>
      <w:r w:rsidRPr="00B331C4">
        <w:rPr>
          <w:sz w:val="32"/>
          <w:szCs w:val="32"/>
        </w:rPr>
        <w:t>prepared for</w:t>
      </w:r>
    </w:p>
    <w:p w14:paraId="4917613E" w14:textId="77777777" w:rsidR="00415CD5" w:rsidRDefault="00415CD5" w:rsidP="00415CD5">
      <w:pPr>
        <w:jc w:val="right"/>
        <w:rPr>
          <w:sz w:val="32"/>
          <w:szCs w:val="32"/>
        </w:rPr>
      </w:pPr>
    </w:p>
    <w:p w14:paraId="20FA62DD" w14:textId="77777777" w:rsidR="00415CD5" w:rsidRDefault="00415CD5" w:rsidP="00415CD5">
      <w:pPr>
        <w:jc w:val="right"/>
        <w:rPr>
          <w:sz w:val="32"/>
          <w:szCs w:val="32"/>
        </w:rPr>
      </w:pPr>
    </w:p>
    <w:p w14:paraId="40AF7BDF" w14:textId="77777777" w:rsidR="00415CD5" w:rsidRDefault="00415CD5" w:rsidP="00415CD5">
      <w:pPr>
        <w:jc w:val="right"/>
        <w:rPr>
          <w:b/>
          <w:sz w:val="44"/>
          <w:szCs w:val="44"/>
        </w:rPr>
      </w:pPr>
      <w:r>
        <w:rPr>
          <w:b/>
          <w:sz w:val="44"/>
          <w:szCs w:val="44"/>
        </w:rPr>
        <w:t>European Environment Agency (EEA)</w:t>
      </w:r>
    </w:p>
    <w:p w14:paraId="272FEDB5" w14:textId="77777777" w:rsidR="00415CD5" w:rsidRDefault="00415CD5" w:rsidP="00415CD5">
      <w:pPr>
        <w:rPr>
          <w:b/>
          <w:sz w:val="44"/>
          <w:szCs w:val="44"/>
        </w:rPr>
      </w:pPr>
    </w:p>
    <w:p w14:paraId="74BF0E78" w14:textId="77777777" w:rsidR="00415CD5" w:rsidRDefault="00415CD5" w:rsidP="00415CD5">
      <w:pPr>
        <w:jc w:val="right"/>
        <w:rPr>
          <w:sz w:val="44"/>
          <w:szCs w:val="44"/>
        </w:rPr>
      </w:pPr>
      <w:r>
        <w:rPr>
          <w:sz w:val="44"/>
          <w:szCs w:val="44"/>
        </w:rPr>
        <w:t>11 December 2019</w:t>
      </w:r>
    </w:p>
    <w:p w14:paraId="094F65C4" w14:textId="6B53A92C" w:rsidR="00B31A1C" w:rsidRPr="00B31A1C" w:rsidRDefault="00B31A1C" w:rsidP="00B331C4">
      <w:pPr>
        <w:jc w:val="right"/>
        <w:rPr>
          <w:sz w:val="44"/>
          <w:szCs w:val="44"/>
        </w:rPr>
      </w:pPr>
    </w:p>
    <w:p w14:paraId="03127E4C" w14:textId="038DFB05" w:rsidR="00B331C4" w:rsidRDefault="00415CD5" w:rsidP="00B331C4">
      <w:pPr>
        <w:jc w:val="right"/>
        <w:rPr>
          <w:b/>
          <w:sz w:val="44"/>
          <w:szCs w:val="44"/>
        </w:rPr>
        <w:sectPr w:rsidR="00B331C4" w:rsidSect="006C0F35">
          <w:footerReference w:type="default" r:id="rId11"/>
          <w:pgSz w:w="11906" w:h="16838"/>
          <w:pgMar w:top="1418" w:right="1440" w:bottom="851" w:left="1440" w:header="709" w:footer="709" w:gutter="0"/>
          <w:pgNumType w:start="1"/>
          <w:cols w:space="708"/>
          <w:docGrid w:linePitch="360"/>
        </w:sectPr>
      </w:pPr>
      <w:r w:rsidRPr="00BF6BDB">
        <w:rPr>
          <w:rFonts w:cs="Arial"/>
          <w:noProof/>
          <w:sz w:val="32"/>
          <w:szCs w:val="32"/>
          <w:lang w:eastAsia="zh-TW"/>
        </w:rPr>
        <w:drawing>
          <wp:anchor distT="0" distB="0" distL="114300" distR="114300" simplePos="0" relativeHeight="251659264" behindDoc="1" locked="0" layoutInCell="1" allowOverlap="1" wp14:anchorId="63010459" wp14:editId="0BE7B528">
            <wp:simplePos x="0" y="0"/>
            <wp:positionH relativeFrom="column">
              <wp:posOffset>3076575</wp:posOffset>
            </wp:positionH>
            <wp:positionV relativeFrom="paragraph">
              <wp:posOffset>294640</wp:posOffset>
            </wp:positionV>
            <wp:extent cx="1233564" cy="52387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3564" cy="523875"/>
                    </a:xfrm>
                    <a:prstGeom prst="rect">
                      <a:avLst/>
                    </a:prstGeom>
                    <a:noFill/>
                  </pic:spPr>
                </pic:pic>
              </a:graphicData>
            </a:graphic>
            <wp14:sizeRelH relativeFrom="margin">
              <wp14:pctWidth>0</wp14:pctWidth>
            </wp14:sizeRelH>
            <wp14:sizeRelV relativeFrom="margin">
              <wp14:pctHeight>0</wp14:pctHeight>
            </wp14:sizeRelV>
          </wp:anchor>
        </w:drawing>
      </w:r>
      <w:r w:rsidR="00B331C4" w:rsidRPr="00B331C4">
        <w:rPr>
          <w:b/>
          <w:noProof/>
          <w:sz w:val="44"/>
          <w:szCs w:val="44"/>
          <w:lang w:val="fr-BE" w:eastAsia="fr-BE"/>
        </w:rPr>
        <w:drawing>
          <wp:inline distT="0" distB="0" distL="0" distR="0" wp14:anchorId="1283017F" wp14:editId="3CE08F14">
            <wp:extent cx="1295400" cy="1114425"/>
            <wp:effectExtent l="0" t="0" r="0" b="9525"/>
            <wp:docPr id="7" name="Picture 6" descr="file:///var/folders/4z/_vny43gn76382d7rzphkx8j80000gn/T/com.microsoft.Word/screenshot.png">
              <a:extLst xmlns:a="http://schemas.openxmlformats.org/drawingml/2006/main">
                <a:ext uri="{FF2B5EF4-FFF2-40B4-BE49-F238E27FC236}">
                  <a16:creationId xmlns:a16="http://schemas.microsoft.com/office/drawing/2014/main" id="{199A73E3-DD53-DD48-B5B2-6ADD2F0A2D4A}"/>
                </a:ext>
              </a:extLst>
            </wp:docPr>
            <wp:cNvGraphicFramePr/>
            <a:graphic xmlns:a="http://schemas.openxmlformats.org/drawingml/2006/main">
              <a:graphicData uri="http://schemas.openxmlformats.org/drawingml/2006/picture">
                <pic:pic xmlns:pic="http://schemas.openxmlformats.org/drawingml/2006/picture">
                  <pic:nvPicPr>
                    <pic:cNvPr id="7" name="Picture 6" descr="file:///var/folders/4z/_vny43gn76382d7rzphkx8j80000gn/T/com.microsoft.Word/screenshot.png">
                      <a:extLst>
                        <a:ext uri="{FF2B5EF4-FFF2-40B4-BE49-F238E27FC236}">
                          <a16:creationId xmlns:a16="http://schemas.microsoft.com/office/drawing/2014/main" id="{199A73E3-DD53-DD48-B5B2-6ADD2F0A2D4A}"/>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295400" cy="1114425"/>
                    </a:xfrm>
                    <a:prstGeom prst="rect">
                      <a:avLst/>
                    </a:prstGeom>
                  </pic:spPr>
                </pic:pic>
              </a:graphicData>
            </a:graphic>
          </wp:inline>
        </w:drawing>
      </w:r>
    </w:p>
    <w:p w14:paraId="71CED9C5" w14:textId="77777777" w:rsidR="00B331C4" w:rsidRDefault="00B331C4" w:rsidP="00B331C4">
      <w:pPr>
        <w:jc w:val="right"/>
        <w:rPr>
          <w:b/>
          <w:sz w:val="44"/>
          <w:szCs w:val="44"/>
        </w:rPr>
        <w:sectPr w:rsidR="00B331C4" w:rsidSect="006C0F35">
          <w:footerReference w:type="default" r:id="rId14"/>
          <w:pgSz w:w="11906" w:h="16838"/>
          <w:pgMar w:top="1418" w:right="1440" w:bottom="851" w:left="1440" w:header="709" w:footer="709" w:gutter="0"/>
          <w:pgNumType w:start="1"/>
          <w:cols w:space="708"/>
          <w:docGrid w:linePitch="360"/>
        </w:sectPr>
      </w:pPr>
    </w:p>
    <w:p w14:paraId="5154FDEA" w14:textId="77777777" w:rsidR="00E01A75" w:rsidRDefault="00E01A75" w:rsidP="00B331C4">
      <w:pPr>
        <w:jc w:val="center"/>
        <w:rPr>
          <w:b/>
          <w:sz w:val="44"/>
          <w:szCs w:val="44"/>
        </w:rPr>
      </w:pPr>
    </w:p>
    <w:p w14:paraId="5E264F4E" w14:textId="5D021FC2" w:rsidR="00B331C4" w:rsidRDefault="00415CD5" w:rsidP="00B331C4">
      <w:pPr>
        <w:jc w:val="center"/>
        <w:rPr>
          <w:b/>
          <w:sz w:val="40"/>
          <w:szCs w:val="40"/>
        </w:rPr>
      </w:pPr>
      <w:r>
        <w:rPr>
          <w:b/>
          <w:sz w:val="40"/>
          <w:szCs w:val="40"/>
        </w:rPr>
        <w:t>Chemical Mixtures</w:t>
      </w:r>
    </w:p>
    <w:p w14:paraId="7EBD55E6" w14:textId="77777777" w:rsidR="00B331C4" w:rsidRDefault="00B331C4" w:rsidP="00B331C4">
      <w:pPr>
        <w:jc w:val="center"/>
        <w:rPr>
          <w:b/>
          <w:sz w:val="28"/>
          <w:szCs w:val="28"/>
        </w:rPr>
      </w:pPr>
    </w:p>
    <w:p w14:paraId="40954E58" w14:textId="00C21C44" w:rsidR="00B331C4" w:rsidRDefault="00B331C4" w:rsidP="00B331C4">
      <w:pPr>
        <w:jc w:val="center"/>
        <w:rPr>
          <w:b/>
          <w:sz w:val="28"/>
          <w:szCs w:val="28"/>
        </w:rPr>
      </w:pPr>
    </w:p>
    <w:p w14:paraId="31C307F0" w14:textId="77777777" w:rsidR="00E01A75" w:rsidRDefault="00E01A75" w:rsidP="00B331C4">
      <w:pPr>
        <w:jc w:val="center"/>
        <w:rPr>
          <w:b/>
          <w:sz w:val="28"/>
          <w:szCs w:val="28"/>
        </w:rPr>
      </w:pPr>
    </w:p>
    <w:p w14:paraId="745C6E71" w14:textId="77777777" w:rsidR="00E01A75" w:rsidRDefault="00E01A75" w:rsidP="00B331C4">
      <w:pPr>
        <w:jc w:val="center"/>
        <w:rPr>
          <w:b/>
          <w:sz w:val="28"/>
          <w:szCs w:val="28"/>
        </w:rPr>
      </w:pPr>
    </w:p>
    <w:p w14:paraId="3AEB4E20" w14:textId="77777777" w:rsidR="00B331C4" w:rsidRDefault="00B331C4" w:rsidP="00B331C4">
      <w:pPr>
        <w:jc w:val="center"/>
        <w:rPr>
          <w:b/>
          <w:sz w:val="28"/>
          <w:szCs w:val="28"/>
        </w:rPr>
      </w:pPr>
    </w:p>
    <w:p w14:paraId="70B4F870" w14:textId="77777777" w:rsidR="00415CD5" w:rsidRDefault="00415CD5" w:rsidP="00415CD5">
      <w:pPr>
        <w:jc w:val="center"/>
        <w:rPr>
          <w:b/>
          <w:sz w:val="28"/>
          <w:szCs w:val="28"/>
        </w:rPr>
      </w:pPr>
      <w:r>
        <w:rPr>
          <w:b/>
          <w:sz w:val="28"/>
          <w:szCs w:val="28"/>
        </w:rPr>
        <w:t>11 December 2019</w:t>
      </w:r>
    </w:p>
    <w:p w14:paraId="69ABE60F" w14:textId="77777777" w:rsidR="00415CD5" w:rsidRDefault="00415CD5" w:rsidP="00415CD5">
      <w:pPr>
        <w:jc w:val="center"/>
        <w:rPr>
          <w:b/>
          <w:sz w:val="28"/>
          <w:szCs w:val="28"/>
        </w:rPr>
      </w:pPr>
      <w:r>
        <w:rPr>
          <w:b/>
          <w:sz w:val="28"/>
          <w:szCs w:val="28"/>
        </w:rPr>
        <w:t>Draft Summary Document</w:t>
      </w:r>
    </w:p>
    <w:p w14:paraId="00E2E2DF" w14:textId="77777777" w:rsidR="00B331C4" w:rsidRDefault="00B331C4" w:rsidP="00B331C4">
      <w:pPr>
        <w:jc w:val="center"/>
        <w:rPr>
          <w:b/>
          <w:sz w:val="28"/>
          <w:szCs w:val="28"/>
        </w:rPr>
      </w:pPr>
    </w:p>
    <w:p w14:paraId="1B26247C" w14:textId="1905E794" w:rsidR="00B331C4" w:rsidRDefault="00B331C4" w:rsidP="00B331C4">
      <w:pPr>
        <w:jc w:val="center"/>
        <w:rPr>
          <w:b/>
          <w:sz w:val="28"/>
          <w:szCs w:val="28"/>
        </w:rPr>
      </w:pPr>
    </w:p>
    <w:p w14:paraId="1291DC6E" w14:textId="77777777" w:rsidR="00E01A75" w:rsidRDefault="00E01A75" w:rsidP="00B331C4">
      <w:pPr>
        <w:jc w:val="center"/>
        <w:rPr>
          <w:b/>
          <w:sz w:val="28"/>
          <w:szCs w:val="28"/>
        </w:rPr>
      </w:pPr>
    </w:p>
    <w:p w14:paraId="2152679E" w14:textId="77777777" w:rsidR="00B331C4" w:rsidRDefault="00B331C4" w:rsidP="00B331C4">
      <w:pPr>
        <w:jc w:val="center"/>
        <w:rPr>
          <w:b/>
          <w:sz w:val="28"/>
          <w:szCs w:val="28"/>
        </w:rPr>
      </w:pPr>
    </w:p>
    <w:p w14:paraId="715DCAB6" w14:textId="77777777" w:rsidR="00B331C4" w:rsidRDefault="00B331C4" w:rsidP="00B331C4">
      <w:pPr>
        <w:jc w:val="center"/>
        <w:rPr>
          <w:b/>
          <w:sz w:val="28"/>
          <w:szCs w:val="28"/>
        </w:rPr>
      </w:pPr>
    </w:p>
    <w:p w14:paraId="3636940D" w14:textId="77777777" w:rsidR="00B331C4" w:rsidRDefault="00B331C4" w:rsidP="00B331C4">
      <w:pPr>
        <w:jc w:val="center"/>
        <w:rPr>
          <w:b/>
          <w:sz w:val="28"/>
          <w:szCs w:val="28"/>
        </w:rPr>
      </w:pPr>
    </w:p>
    <w:tbl>
      <w:tblPr>
        <w:tblpPr w:leftFromText="180" w:rightFromText="180" w:vertAnchor="text" w:tblpXSpec="center" w:tblpY="110"/>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4261"/>
        <w:gridCol w:w="4261"/>
      </w:tblGrid>
      <w:tr w:rsidR="00B331C4" w:rsidRPr="00B435A9" w14:paraId="6ACEABA3" w14:textId="77777777" w:rsidTr="00E31EFE">
        <w:tc>
          <w:tcPr>
            <w:tcW w:w="8522" w:type="dxa"/>
            <w:gridSpan w:val="2"/>
            <w:tcBorders>
              <w:top w:val="single" w:sz="12" w:space="0" w:color="000000"/>
              <w:left w:val="single" w:sz="12" w:space="0" w:color="000000"/>
              <w:bottom w:val="single" w:sz="12" w:space="0" w:color="000000"/>
              <w:right w:val="single" w:sz="12" w:space="0" w:color="000000"/>
            </w:tcBorders>
            <w:shd w:val="clear" w:color="auto" w:fill="003399"/>
            <w:tcMar>
              <w:top w:w="57" w:type="dxa"/>
              <w:left w:w="57" w:type="dxa"/>
              <w:bottom w:w="57" w:type="dxa"/>
              <w:right w:w="57" w:type="dxa"/>
            </w:tcMar>
          </w:tcPr>
          <w:p w14:paraId="66DA968E" w14:textId="77777777" w:rsidR="00B331C4" w:rsidRPr="00B435A9" w:rsidRDefault="00B331C4" w:rsidP="00E31EFE">
            <w:pPr>
              <w:spacing w:after="0"/>
              <w:rPr>
                <w:rFonts w:eastAsia="Times New Roman" w:cs="Arial"/>
                <w:b/>
                <w:sz w:val="20"/>
                <w:szCs w:val="20"/>
              </w:rPr>
            </w:pPr>
            <w:r w:rsidRPr="00B435A9">
              <w:rPr>
                <w:rFonts w:eastAsia="Times New Roman" w:cs="Arial"/>
                <w:b/>
                <w:color w:val="FFFFFF" w:themeColor="background1"/>
                <w:sz w:val="20"/>
                <w:szCs w:val="20"/>
              </w:rPr>
              <w:t xml:space="preserve">Quality Assurance </w:t>
            </w:r>
          </w:p>
        </w:tc>
      </w:tr>
      <w:tr w:rsidR="00B331C4" w:rsidRPr="00B435A9" w14:paraId="753471A6" w14:textId="77777777" w:rsidTr="00E31EFE">
        <w:tc>
          <w:tcPr>
            <w:tcW w:w="42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14:paraId="159B7531" w14:textId="77777777" w:rsidR="00B331C4" w:rsidRPr="00B435A9" w:rsidRDefault="00B331C4" w:rsidP="00E31EFE">
            <w:pPr>
              <w:spacing w:after="0"/>
              <w:rPr>
                <w:rFonts w:eastAsia="Times New Roman" w:cs="Arial"/>
                <w:b/>
                <w:sz w:val="20"/>
                <w:szCs w:val="20"/>
              </w:rPr>
            </w:pPr>
            <w:r w:rsidRPr="00B435A9">
              <w:rPr>
                <w:rFonts w:eastAsia="Times New Roman" w:cs="Arial"/>
                <w:b/>
                <w:sz w:val="20"/>
                <w:szCs w:val="20"/>
              </w:rPr>
              <w:t>Project reference / title</w:t>
            </w:r>
          </w:p>
        </w:tc>
        <w:tc>
          <w:tcPr>
            <w:tcW w:w="42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14:paraId="07EB9EB6" w14:textId="44FCC84D" w:rsidR="00B331C4" w:rsidRPr="00B435A9" w:rsidRDefault="00415CD5" w:rsidP="00E31EFE">
            <w:pPr>
              <w:spacing w:after="0"/>
              <w:rPr>
                <w:rFonts w:eastAsia="Times New Roman" w:cs="Arial"/>
                <w:sz w:val="20"/>
                <w:szCs w:val="20"/>
              </w:rPr>
            </w:pPr>
            <w:r>
              <w:rPr>
                <w:rFonts w:eastAsia="Times New Roman" w:cs="Arial"/>
                <w:sz w:val="20"/>
                <w:szCs w:val="20"/>
              </w:rPr>
              <w:t>J1061/ EEA HBM4EU Policy Briefs 2.0</w:t>
            </w:r>
          </w:p>
        </w:tc>
      </w:tr>
      <w:tr w:rsidR="00B331C4" w:rsidRPr="00B435A9" w14:paraId="10043A62" w14:textId="77777777" w:rsidTr="00E31EFE">
        <w:tc>
          <w:tcPr>
            <w:tcW w:w="42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14:paraId="77F8DCB8" w14:textId="2A9C18DB" w:rsidR="00B331C4" w:rsidRPr="00B435A9" w:rsidRDefault="00B31A1C" w:rsidP="00E31EFE">
            <w:pPr>
              <w:spacing w:after="0"/>
              <w:rPr>
                <w:rFonts w:eastAsia="Times New Roman" w:cs="Arial"/>
                <w:b/>
                <w:sz w:val="20"/>
                <w:szCs w:val="20"/>
              </w:rPr>
            </w:pPr>
            <w:r>
              <w:rPr>
                <w:rFonts w:eastAsia="Times New Roman" w:cs="Arial"/>
                <w:b/>
                <w:sz w:val="20"/>
                <w:szCs w:val="20"/>
              </w:rPr>
              <w:t>Repor</w:t>
            </w:r>
            <w:r w:rsidR="00B331C4">
              <w:rPr>
                <w:rFonts w:eastAsia="Times New Roman" w:cs="Arial"/>
                <w:b/>
                <w:sz w:val="20"/>
                <w:szCs w:val="20"/>
              </w:rPr>
              <w:t>t</w:t>
            </w:r>
            <w:r w:rsidR="00B331C4" w:rsidRPr="00B435A9">
              <w:rPr>
                <w:rFonts w:eastAsia="Times New Roman" w:cs="Arial"/>
                <w:b/>
                <w:sz w:val="20"/>
                <w:szCs w:val="20"/>
              </w:rPr>
              <w:t xml:space="preserve"> status</w:t>
            </w:r>
          </w:p>
        </w:tc>
        <w:tc>
          <w:tcPr>
            <w:tcW w:w="42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14:paraId="213882F2" w14:textId="6A3EDD15" w:rsidR="00B331C4" w:rsidRPr="00B435A9" w:rsidRDefault="00415CD5" w:rsidP="00E31EFE">
            <w:pPr>
              <w:spacing w:after="0"/>
              <w:rPr>
                <w:rFonts w:eastAsia="Times New Roman" w:cs="Arial"/>
                <w:sz w:val="20"/>
                <w:szCs w:val="20"/>
              </w:rPr>
            </w:pPr>
            <w:r>
              <w:rPr>
                <w:rFonts w:eastAsia="Times New Roman" w:cs="Arial"/>
                <w:sz w:val="20"/>
                <w:szCs w:val="20"/>
              </w:rPr>
              <w:t>Draft Summary Document</w:t>
            </w:r>
          </w:p>
        </w:tc>
      </w:tr>
      <w:tr w:rsidR="00B331C4" w:rsidRPr="00B435A9" w14:paraId="5E09EAE2" w14:textId="77777777" w:rsidTr="00E31EFE">
        <w:tc>
          <w:tcPr>
            <w:tcW w:w="42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14:paraId="0D408B7C" w14:textId="77777777" w:rsidR="00B331C4" w:rsidRPr="00B435A9" w:rsidRDefault="00B331C4" w:rsidP="00E31EFE">
            <w:pPr>
              <w:spacing w:after="0"/>
              <w:rPr>
                <w:rFonts w:eastAsia="Times New Roman" w:cs="Arial"/>
                <w:b/>
                <w:sz w:val="20"/>
                <w:szCs w:val="20"/>
              </w:rPr>
            </w:pPr>
            <w:r w:rsidRPr="00B435A9">
              <w:rPr>
                <w:rFonts w:eastAsia="Times New Roman" w:cs="Arial"/>
                <w:b/>
                <w:sz w:val="20"/>
                <w:szCs w:val="20"/>
              </w:rPr>
              <w:t>Author(s)</w:t>
            </w:r>
          </w:p>
        </w:tc>
        <w:tc>
          <w:tcPr>
            <w:tcW w:w="42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14:paraId="0033CB46" w14:textId="0C6E5DF1" w:rsidR="009160EA" w:rsidRPr="00B435A9" w:rsidRDefault="00415CD5" w:rsidP="00E31EFE">
            <w:pPr>
              <w:spacing w:after="0"/>
              <w:rPr>
                <w:rFonts w:eastAsia="Times New Roman" w:cs="Arial"/>
                <w:sz w:val="20"/>
                <w:szCs w:val="20"/>
              </w:rPr>
            </w:pPr>
            <w:r>
              <w:rPr>
                <w:rFonts w:eastAsia="Times New Roman" w:cs="Arial"/>
                <w:sz w:val="20"/>
                <w:szCs w:val="20"/>
              </w:rPr>
              <w:t>Rebecca Johansen</w:t>
            </w:r>
          </w:p>
        </w:tc>
      </w:tr>
      <w:tr w:rsidR="00B331C4" w:rsidRPr="00B435A9" w14:paraId="313314B7" w14:textId="77777777" w:rsidTr="00E31EFE">
        <w:tc>
          <w:tcPr>
            <w:tcW w:w="42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14:paraId="3D84D19F" w14:textId="77777777" w:rsidR="00B331C4" w:rsidRPr="00B435A9" w:rsidRDefault="00B331C4" w:rsidP="00E31EFE">
            <w:pPr>
              <w:spacing w:after="0"/>
              <w:rPr>
                <w:rFonts w:eastAsia="Times New Roman" w:cs="Arial"/>
                <w:b/>
                <w:sz w:val="20"/>
                <w:szCs w:val="20"/>
              </w:rPr>
            </w:pPr>
            <w:r w:rsidRPr="00B435A9">
              <w:rPr>
                <w:rFonts w:eastAsia="Times New Roman" w:cs="Arial"/>
                <w:b/>
                <w:sz w:val="20"/>
                <w:szCs w:val="20"/>
              </w:rPr>
              <w:t>Approved for issue by</w:t>
            </w:r>
          </w:p>
        </w:tc>
        <w:tc>
          <w:tcPr>
            <w:tcW w:w="42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14:paraId="2B6A89BE" w14:textId="45FAE504" w:rsidR="00B331C4" w:rsidRPr="00B435A9" w:rsidRDefault="00415CD5" w:rsidP="00E31EFE">
            <w:pPr>
              <w:spacing w:after="0"/>
              <w:rPr>
                <w:rFonts w:eastAsia="Times New Roman" w:cs="Arial"/>
                <w:sz w:val="20"/>
                <w:szCs w:val="20"/>
              </w:rPr>
            </w:pPr>
            <w:r>
              <w:rPr>
                <w:rFonts w:eastAsia="Times New Roman" w:cs="Arial"/>
                <w:sz w:val="20"/>
                <w:szCs w:val="20"/>
              </w:rPr>
              <w:t>Meg Postle</w:t>
            </w:r>
          </w:p>
        </w:tc>
      </w:tr>
      <w:tr w:rsidR="00B331C4" w:rsidRPr="00B435A9" w14:paraId="33733267" w14:textId="77777777" w:rsidTr="00E31EFE">
        <w:tc>
          <w:tcPr>
            <w:tcW w:w="42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14:paraId="0FAE9064" w14:textId="77777777" w:rsidR="00B331C4" w:rsidRPr="00B435A9" w:rsidRDefault="00B331C4" w:rsidP="00E31EFE">
            <w:pPr>
              <w:spacing w:after="0"/>
              <w:rPr>
                <w:rFonts w:eastAsia="Times New Roman" w:cs="Arial"/>
                <w:b/>
                <w:sz w:val="20"/>
                <w:szCs w:val="20"/>
              </w:rPr>
            </w:pPr>
            <w:r w:rsidRPr="00B435A9">
              <w:rPr>
                <w:rFonts w:eastAsia="Times New Roman" w:cs="Arial"/>
                <w:b/>
                <w:sz w:val="20"/>
                <w:szCs w:val="20"/>
              </w:rPr>
              <w:t>Date of issue</w:t>
            </w:r>
          </w:p>
        </w:tc>
        <w:tc>
          <w:tcPr>
            <w:tcW w:w="4261"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14:paraId="36E612FD" w14:textId="2D118813" w:rsidR="00B331C4" w:rsidRPr="00B435A9" w:rsidRDefault="00415CD5" w:rsidP="00E31EFE">
            <w:pPr>
              <w:spacing w:after="0"/>
              <w:rPr>
                <w:rFonts w:eastAsia="Times New Roman" w:cs="Arial"/>
                <w:sz w:val="20"/>
                <w:szCs w:val="20"/>
              </w:rPr>
            </w:pPr>
            <w:r>
              <w:rPr>
                <w:rFonts w:eastAsia="Times New Roman" w:cs="Arial"/>
                <w:sz w:val="20"/>
                <w:szCs w:val="20"/>
              </w:rPr>
              <w:t>11 December 2019</w:t>
            </w:r>
          </w:p>
        </w:tc>
      </w:tr>
    </w:tbl>
    <w:p w14:paraId="4006BFC3" w14:textId="4172425B" w:rsidR="00B331C4" w:rsidRDefault="00B331C4" w:rsidP="00B331C4">
      <w:pPr>
        <w:jc w:val="center"/>
        <w:rPr>
          <w:b/>
          <w:sz w:val="44"/>
          <w:szCs w:val="44"/>
        </w:rPr>
      </w:pPr>
    </w:p>
    <w:p w14:paraId="01ACB32D" w14:textId="77777777" w:rsidR="00B31A1C" w:rsidRDefault="00B31A1C" w:rsidP="00B331C4">
      <w:pPr>
        <w:jc w:val="center"/>
        <w:rPr>
          <w:b/>
        </w:rPr>
        <w:sectPr w:rsidR="00B31A1C" w:rsidSect="006C0F35">
          <w:pgSz w:w="11906" w:h="16838"/>
          <w:pgMar w:top="1418" w:right="1440" w:bottom="851" w:left="1440" w:header="709" w:footer="709" w:gutter="0"/>
          <w:pgNumType w:start="1"/>
          <w:cols w:space="708"/>
          <w:docGrid w:linePitch="360"/>
        </w:sectPr>
      </w:pPr>
    </w:p>
    <w:p w14:paraId="57686AC2" w14:textId="59627D3E" w:rsidR="00B31A1C" w:rsidRDefault="00B31A1C" w:rsidP="00B331C4">
      <w:pPr>
        <w:jc w:val="center"/>
        <w:rPr>
          <w:b/>
        </w:rPr>
      </w:pPr>
    </w:p>
    <w:p w14:paraId="437063FB" w14:textId="77777777" w:rsidR="00B31A1C" w:rsidRDefault="00B31A1C" w:rsidP="00B331C4">
      <w:pPr>
        <w:jc w:val="center"/>
        <w:rPr>
          <w:b/>
        </w:rPr>
        <w:sectPr w:rsidR="00B31A1C" w:rsidSect="006C0F35">
          <w:pgSz w:w="11906" w:h="16838"/>
          <w:pgMar w:top="1418" w:right="1440" w:bottom="851" w:left="1440" w:header="709" w:footer="709" w:gutter="0"/>
          <w:pgNumType w:start="1"/>
          <w:cols w:space="708"/>
          <w:docGrid w:linePitch="360"/>
        </w:sectPr>
      </w:pPr>
    </w:p>
    <w:p w14:paraId="590A2048" w14:textId="77777777" w:rsidR="00B31A1C" w:rsidRPr="001E72D2" w:rsidRDefault="00B31A1C" w:rsidP="00B31A1C">
      <w:pPr>
        <w:spacing w:after="0"/>
        <w:jc w:val="center"/>
        <w:rPr>
          <w:rFonts w:ascii="Calibri" w:hAnsi="Calibri" w:cs="Arial"/>
          <w:b/>
          <w:sz w:val="36"/>
          <w:szCs w:val="36"/>
        </w:rPr>
      </w:pPr>
      <w:r w:rsidRPr="001E72D2">
        <w:rPr>
          <w:rFonts w:ascii="Calibri" w:hAnsi="Calibri" w:cs="Arial"/>
          <w:b/>
          <w:sz w:val="36"/>
          <w:szCs w:val="36"/>
        </w:rPr>
        <w:lastRenderedPageBreak/>
        <w:t xml:space="preserve">Table of </w:t>
      </w:r>
      <w:r>
        <w:rPr>
          <w:rFonts w:ascii="Calibri" w:hAnsi="Calibri" w:cs="Arial"/>
          <w:b/>
          <w:sz w:val="36"/>
          <w:szCs w:val="36"/>
        </w:rPr>
        <w:t>C</w:t>
      </w:r>
      <w:r w:rsidRPr="001E72D2">
        <w:rPr>
          <w:rFonts w:ascii="Calibri" w:hAnsi="Calibri" w:cs="Arial"/>
          <w:b/>
          <w:sz w:val="36"/>
          <w:szCs w:val="36"/>
        </w:rPr>
        <w:t>ontents</w:t>
      </w:r>
    </w:p>
    <w:p w14:paraId="748542A5" w14:textId="77777777" w:rsidR="00B31A1C" w:rsidRDefault="00B31A1C" w:rsidP="00B31A1C">
      <w:pPr>
        <w:rPr>
          <w:rFonts w:ascii="Arial" w:hAnsi="Arial" w:cs="Arial"/>
          <w:sz w:val="28"/>
          <w:szCs w:val="28"/>
        </w:rPr>
      </w:pPr>
    </w:p>
    <w:p w14:paraId="718B3A6F" w14:textId="5BBDDEEB" w:rsidR="001E6173" w:rsidRDefault="00B31A1C">
      <w:pPr>
        <w:pStyle w:val="TOC1"/>
        <w:rPr>
          <w:b w:val="0"/>
          <w:lang w:val="en-GB" w:eastAsia="en-GB"/>
        </w:rPr>
      </w:pPr>
      <w:r>
        <w:rPr>
          <w:rFonts w:ascii="Arial" w:hAnsi="Arial" w:cs="Arial"/>
          <w:sz w:val="28"/>
          <w:szCs w:val="28"/>
        </w:rPr>
        <w:fldChar w:fldCharType="begin"/>
      </w:r>
      <w:r>
        <w:rPr>
          <w:rFonts w:ascii="Arial" w:hAnsi="Arial" w:cs="Arial"/>
          <w:sz w:val="28"/>
          <w:szCs w:val="28"/>
        </w:rPr>
        <w:instrText xml:space="preserve"> TOC \o "1-1" \h \z \u \t "Heading 2,2" </w:instrText>
      </w:r>
      <w:r>
        <w:rPr>
          <w:rFonts w:ascii="Arial" w:hAnsi="Arial" w:cs="Arial"/>
          <w:sz w:val="28"/>
          <w:szCs w:val="28"/>
        </w:rPr>
        <w:fldChar w:fldCharType="separate"/>
      </w:r>
      <w:hyperlink w:anchor="_Toc26964995" w:history="1">
        <w:r w:rsidR="001E6173" w:rsidRPr="00EB26AA">
          <w:rPr>
            <w:rStyle w:val="Hyperlink"/>
          </w:rPr>
          <w:t>1</w:t>
        </w:r>
        <w:r w:rsidR="001E6173">
          <w:rPr>
            <w:b w:val="0"/>
            <w:lang w:val="en-GB" w:eastAsia="en-GB"/>
          </w:rPr>
          <w:tab/>
        </w:r>
        <w:r w:rsidR="001E6173" w:rsidRPr="00EB26AA">
          <w:rPr>
            <w:rStyle w:val="Hyperlink"/>
          </w:rPr>
          <w:t>Introduction</w:t>
        </w:r>
        <w:r w:rsidR="001E6173">
          <w:rPr>
            <w:webHidden/>
          </w:rPr>
          <w:tab/>
        </w:r>
        <w:r w:rsidR="001E6173">
          <w:rPr>
            <w:webHidden/>
          </w:rPr>
          <w:fldChar w:fldCharType="begin"/>
        </w:r>
        <w:r w:rsidR="001E6173">
          <w:rPr>
            <w:webHidden/>
          </w:rPr>
          <w:instrText xml:space="preserve"> PAGEREF _Toc26964995 \h </w:instrText>
        </w:r>
        <w:r w:rsidR="001E6173">
          <w:rPr>
            <w:webHidden/>
          </w:rPr>
        </w:r>
        <w:r w:rsidR="001E6173">
          <w:rPr>
            <w:webHidden/>
          </w:rPr>
          <w:fldChar w:fldCharType="separate"/>
        </w:r>
        <w:r w:rsidR="001E6173">
          <w:rPr>
            <w:webHidden/>
          </w:rPr>
          <w:t>1</w:t>
        </w:r>
        <w:r w:rsidR="001E6173">
          <w:rPr>
            <w:webHidden/>
          </w:rPr>
          <w:fldChar w:fldCharType="end"/>
        </w:r>
      </w:hyperlink>
    </w:p>
    <w:p w14:paraId="054DA59F" w14:textId="3E18E759" w:rsidR="001E6173" w:rsidRDefault="001E6173">
      <w:pPr>
        <w:pStyle w:val="TOC2"/>
        <w:rPr>
          <w:noProof/>
          <w:lang w:val="en-GB" w:eastAsia="en-GB"/>
        </w:rPr>
      </w:pPr>
      <w:hyperlink w:anchor="_Toc26964996" w:history="1">
        <w:r w:rsidRPr="00EB26AA">
          <w:rPr>
            <w:rStyle w:val="Hyperlink"/>
            <w:noProof/>
          </w:rPr>
          <w:t>1.1</w:t>
        </w:r>
        <w:r>
          <w:rPr>
            <w:noProof/>
            <w:lang w:val="en-GB" w:eastAsia="en-GB"/>
          </w:rPr>
          <w:tab/>
        </w:r>
        <w:r w:rsidRPr="00EB26AA">
          <w:rPr>
            <w:rStyle w:val="Hyperlink"/>
            <w:noProof/>
          </w:rPr>
          <w:t>Definitions</w:t>
        </w:r>
        <w:r>
          <w:rPr>
            <w:noProof/>
            <w:webHidden/>
          </w:rPr>
          <w:tab/>
        </w:r>
        <w:r>
          <w:rPr>
            <w:noProof/>
            <w:webHidden/>
          </w:rPr>
          <w:fldChar w:fldCharType="begin"/>
        </w:r>
        <w:r>
          <w:rPr>
            <w:noProof/>
            <w:webHidden/>
          </w:rPr>
          <w:instrText xml:space="preserve"> PAGEREF _Toc26964996 \h </w:instrText>
        </w:r>
        <w:r>
          <w:rPr>
            <w:noProof/>
            <w:webHidden/>
          </w:rPr>
        </w:r>
        <w:r>
          <w:rPr>
            <w:noProof/>
            <w:webHidden/>
          </w:rPr>
          <w:fldChar w:fldCharType="separate"/>
        </w:r>
        <w:r>
          <w:rPr>
            <w:noProof/>
            <w:webHidden/>
          </w:rPr>
          <w:t>1</w:t>
        </w:r>
        <w:r>
          <w:rPr>
            <w:noProof/>
            <w:webHidden/>
          </w:rPr>
          <w:fldChar w:fldCharType="end"/>
        </w:r>
      </w:hyperlink>
    </w:p>
    <w:p w14:paraId="0ED76A74" w14:textId="534AD067" w:rsidR="001E6173" w:rsidRDefault="001E6173">
      <w:pPr>
        <w:pStyle w:val="TOC2"/>
        <w:rPr>
          <w:noProof/>
          <w:lang w:val="en-GB" w:eastAsia="en-GB"/>
        </w:rPr>
      </w:pPr>
      <w:hyperlink w:anchor="_Toc26964997" w:history="1">
        <w:r w:rsidRPr="00EB26AA">
          <w:rPr>
            <w:rStyle w:val="Hyperlink"/>
            <w:noProof/>
          </w:rPr>
          <w:t>1.2</w:t>
        </w:r>
        <w:r>
          <w:rPr>
            <w:noProof/>
            <w:lang w:val="en-GB" w:eastAsia="en-GB"/>
          </w:rPr>
          <w:tab/>
        </w:r>
        <w:r w:rsidRPr="00EB26AA">
          <w:rPr>
            <w:rStyle w:val="Hyperlink"/>
            <w:noProof/>
          </w:rPr>
          <w:t>Challenges Identified</w:t>
        </w:r>
        <w:r>
          <w:rPr>
            <w:noProof/>
            <w:webHidden/>
          </w:rPr>
          <w:tab/>
        </w:r>
        <w:r>
          <w:rPr>
            <w:noProof/>
            <w:webHidden/>
          </w:rPr>
          <w:fldChar w:fldCharType="begin"/>
        </w:r>
        <w:r>
          <w:rPr>
            <w:noProof/>
            <w:webHidden/>
          </w:rPr>
          <w:instrText xml:space="preserve"> PAGEREF _Toc26964997 \h </w:instrText>
        </w:r>
        <w:r>
          <w:rPr>
            <w:noProof/>
            <w:webHidden/>
          </w:rPr>
        </w:r>
        <w:r>
          <w:rPr>
            <w:noProof/>
            <w:webHidden/>
          </w:rPr>
          <w:fldChar w:fldCharType="separate"/>
        </w:r>
        <w:r>
          <w:rPr>
            <w:noProof/>
            <w:webHidden/>
          </w:rPr>
          <w:t>1</w:t>
        </w:r>
        <w:r>
          <w:rPr>
            <w:noProof/>
            <w:webHidden/>
          </w:rPr>
          <w:fldChar w:fldCharType="end"/>
        </w:r>
      </w:hyperlink>
    </w:p>
    <w:p w14:paraId="791BA5A0" w14:textId="14235002" w:rsidR="001E6173" w:rsidRDefault="001E6173">
      <w:pPr>
        <w:pStyle w:val="TOC2"/>
        <w:rPr>
          <w:noProof/>
          <w:lang w:val="en-GB" w:eastAsia="en-GB"/>
        </w:rPr>
      </w:pPr>
      <w:hyperlink w:anchor="_Toc26964998" w:history="1">
        <w:r w:rsidRPr="00EB26AA">
          <w:rPr>
            <w:rStyle w:val="Hyperlink"/>
            <w:noProof/>
          </w:rPr>
          <w:t>1.3</w:t>
        </w:r>
        <w:r>
          <w:rPr>
            <w:noProof/>
            <w:lang w:val="en-GB" w:eastAsia="en-GB"/>
          </w:rPr>
          <w:tab/>
        </w:r>
        <w:r w:rsidRPr="00EB26AA">
          <w:rPr>
            <w:rStyle w:val="Hyperlink"/>
            <w:noProof/>
          </w:rPr>
          <w:t>Assessment of Chemical Mixtures</w:t>
        </w:r>
        <w:r>
          <w:rPr>
            <w:noProof/>
            <w:webHidden/>
          </w:rPr>
          <w:tab/>
        </w:r>
        <w:r>
          <w:rPr>
            <w:noProof/>
            <w:webHidden/>
          </w:rPr>
          <w:fldChar w:fldCharType="begin"/>
        </w:r>
        <w:r>
          <w:rPr>
            <w:noProof/>
            <w:webHidden/>
          </w:rPr>
          <w:instrText xml:space="preserve"> PAGEREF _Toc26964998 \h </w:instrText>
        </w:r>
        <w:r>
          <w:rPr>
            <w:noProof/>
            <w:webHidden/>
          </w:rPr>
        </w:r>
        <w:r>
          <w:rPr>
            <w:noProof/>
            <w:webHidden/>
          </w:rPr>
          <w:fldChar w:fldCharType="separate"/>
        </w:r>
        <w:r>
          <w:rPr>
            <w:noProof/>
            <w:webHidden/>
          </w:rPr>
          <w:t>2</w:t>
        </w:r>
        <w:r>
          <w:rPr>
            <w:noProof/>
            <w:webHidden/>
          </w:rPr>
          <w:fldChar w:fldCharType="end"/>
        </w:r>
      </w:hyperlink>
    </w:p>
    <w:p w14:paraId="34ADE1E3" w14:textId="19904493" w:rsidR="001E6173" w:rsidRDefault="001E6173">
      <w:pPr>
        <w:pStyle w:val="TOC2"/>
        <w:rPr>
          <w:noProof/>
          <w:lang w:val="en-GB" w:eastAsia="en-GB"/>
        </w:rPr>
      </w:pPr>
      <w:hyperlink w:anchor="_Toc26964999" w:history="1">
        <w:r w:rsidRPr="00EB26AA">
          <w:rPr>
            <w:rStyle w:val="Hyperlink"/>
            <w:noProof/>
          </w:rPr>
          <w:t>1.4</w:t>
        </w:r>
        <w:r>
          <w:rPr>
            <w:noProof/>
            <w:lang w:val="en-GB" w:eastAsia="en-GB"/>
          </w:rPr>
          <w:tab/>
        </w:r>
        <w:r w:rsidRPr="00EB26AA">
          <w:rPr>
            <w:rStyle w:val="Hyperlink"/>
            <w:noProof/>
          </w:rPr>
          <w:t>Activities to Address Chemical Mixtures in the EU</w:t>
        </w:r>
        <w:r>
          <w:rPr>
            <w:noProof/>
            <w:webHidden/>
          </w:rPr>
          <w:tab/>
        </w:r>
        <w:r>
          <w:rPr>
            <w:noProof/>
            <w:webHidden/>
          </w:rPr>
          <w:fldChar w:fldCharType="begin"/>
        </w:r>
        <w:r>
          <w:rPr>
            <w:noProof/>
            <w:webHidden/>
          </w:rPr>
          <w:instrText xml:space="preserve"> PAGEREF _Toc26964999 \h </w:instrText>
        </w:r>
        <w:r>
          <w:rPr>
            <w:noProof/>
            <w:webHidden/>
          </w:rPr>
        </w:r>
        <w:r>
          <w:rPr>
            <w:noProof/>
            <w:webHidden/>
          </w:rPr>
          <w:fldChar w:fldCharType="separate"/>
        </w:r>
        <w:r>
          <w:rPr>
            <w:noProof/>
            <w:webHidden/>
          </w:rPr>
          <w:t>4</w:t>
        </w:r>
        <w:r>
          <w:rPr>
            <w:noProof/>
            <w:webHidden/>
          </w:rPr>
          <w:fldChar w:fldCharType="end"/>
        </w:r>
      </w:hyperlink>
    </w:p>
    <w:p w14:paraId="0DBF9790" w14:textId="1A67CE53" w:rsidR="001E6173" w:rsidRDefault="001E6173">
      <w:pPr>
        <w:pStyle w:val="TOC1"/>
        <w:rPr>
          <w:b w:val="0"/>
          <w:lang w:val="en-GB" w:eastAsia="en-GB"/>
        </w:rPr>
      </w:pPr>
      <w:hyperlink w:anchor="_Toc26965000" w:history="1">
        <w:r w:rsidRPr="00EB26AA">
          <w:rPr>
            <w:rStyle w:val="Hyperlink"/>
          </w:rPr>
          <w:t>2</w:t>
        </w:r>
        <w:r>
          <w:rPr>
            <w:b w:val="0"/>
            <w:lang w:val="en-GB" w:eastAsia="en-GB"/>
          </w:rPr>
          <w:tab/>
        </w:r>
        <w:r w:rsidRPr="00EB26AA">
          <w:rPr>
            <w:rStyle w:val="Hyperlink"/>
          </w:rPr>
          <w:t>References</w:t>
        </w:r>
        <w:r>
          <w:rPr>
            <w:webHidden/>
          </w:rPr>
          <w:tab/>
        </w:r>
        <w:r>
          <w:rPr>
            <w:webHidden/>
          </w:rPr>
          <w:fldChar w:fldCharType="begin"/>
        </w:r>
        <w:r>
          <w:rPr>
            <w:webHidden/>
          </w:rPr>
          <w:instrText xml:space="preserve"> PAGEREF _Toc26965000 \h </w:instrText>
        </w:r>
        <w:r>
          <w:rPr>
            <w:webHidden/>
          </w:rPr>
        </w:r>
        <w:r>
          <w:rPr>
            <w:webHidden/>
          </w:rPr>
          <w:fldChar w:fldCharType="separate"/>
        </w:r>
        <w:r>
          <w:rPr>
            <w:webHidden/>
          </w:rPr>
          <w:t>11</w:t>
        </w:r>
        <w:r>
          <w:rPr>
            <w:webHidden/>
          </w:rPr>
          <w:fldChar w:fldCharType="end"/>
        </w:r>
      </w:hyperlink>
    </w:p>
    <w:p w14:paraId="21636AF9" w14:textId="0A26177A" w:rsidR="00E01A75" w:rsidRDefault="00B31A1C" w:rsidP="00B31A1C">
      <w:pPr>
        <w:jc w:val="center"/>
        <w:rPr>
          <w:rFonts w:ascii="Arial" w:eastAsiaTheme="minorEastAsia" w:hAnsi="Arial" w:cs="Arial"/>
          <w:noProof/>
          <w:sz w:val="28"/>
          <w:szCs w:val="28"/>
          <w:lang w:val="en-US" w:eastAsia="ja-JP"/>
        </w:rPr>
      </w:pPr>
      <w:r>
        <w:rPr>
          <w:rFonts w:ascii="Arial" w:eastAsiaTheme="minorEastAsia" w:hAnsi="Arial" w:cs="Arial"/>
          <w:noProof/>
          <w:sz w:val="28"/>
          <w:szCs w:val="28"/>
          <w:lang w:val="en-US" w:eastAsia="ja-JP"/>
        </w:rPr>
        <w:fldChar w:fldCharType="end"/>
      </w:r>
    </w:p>
    <w:p w14:paraId="380914E3" w14:textId="48ADF539" w:rsidR="00E01A75" w:rsidRDefault="00E01A75" w:rsidP="00B331C4">
      <w:pPr>
        <w:jc w:val="right"/>
        <w:rPr>
          <w:b/>
          <w:sz w:val="44"/>
          <w:szCs w:val="44"/>
        </w:rPr>
      </w:pPr>
      <w:r>
        <w:rPr>
          <w:b/>
          <w:sz w:val="44"/>
          <w:szCs w:val="44"/>
        </w:rPr>
        <w:br w:type="page"/>
      </w:r>
    </w:p>
    <w:p w14:paraId="54A55BE1" w14:textId="77777777" w:rsidR="00E01A75" w:rsidRDefault="00E01A75" w:rsidP="00B331C4">
      <w:pPr>
        <w:jc w:val="right"/>
        <w:rPr>
          <w:b/>
          <w:sz w:val="44"/>
          <w:szCs w:val="44"/>
        </w:rPr>
      </w:pPr>
    </w:p>
    <w:p w14:paraId="0A1BE5FE" w14:textId="77777777" w:rsidR="00E01A75" w:rsidRPr="00B331C4" w:rsidRDefault="00E01A75" w:rsidP="00B331C4">
      <w:pPr>
        <w:jc w:val="right"/>
        <w:rPr>
          <w:b/>
          <w:sz w:val="44"/>
          <w:szCs w:val="44"/>
        </w:rPr>
      </w:pPr>
    </w:p>
    <w:p w14:paraId="6B322A33" w14:textId="77777777" w:rsidR="00E01A75" w:rsidRDefault="00E01A75" w:rsidP="00E01A75">
      <w:pPr>
        <w:jc w:val="center"/>
        <w:rPr>
          <w:rFonts w:ascii="Arial" w:eastAsiaTheme="minorEastAsia" w:hAnsi="Arial" w:cs="Arial"/>
          <w:noProof/>
          <w:sz w:val="28"/>
          <w:szCs w:val="28"/>
          <w:lang w:val="en-US" w:eastAsia="ja-JP"/>
        </w:rPr>
        <w:sectPr w:rsidR="00E01A75" w:rsidSect="006C0F35">
          <w:footerReference w:type="default" r:id="rId15"/>
          <w:pgSz w:w="11906" w:h="16838"/>
          <w:pgMar w:top="1418" w:right="1440" w:bottom="851" w:left="1440" w:header="709" w:footer="709" w:gutter="0"/>
          <w:pgNumType w:start="1"/>
          <w:cols w:space="708"/>
          <w:docGrid w:linePitch="360"/>
        </w:sectPr>
      </w:pPr>
    </w:p>
    <w:p w14:paraId="31E6BA45" w14:textId="77777777" w:rsidR="00E01A75" w:rsidRDefault="00E01A75" w:rsidP="00E01A75">
      <w:pPr>
        <w:pStyle w:val="Heading1"/>
      </w:pPr>
      <w:bookmarkStart w:id="0" w:name="_Toc26964995"/>
      <w:r>
        <w:lastRenderedPageBreak/>
        <w:t>Introduction</w:t>
      </w:r>
      <w:bookmarkEnd w:id="0"/>
    </w:p>
    <w:p w14:paraId="7B84C0E1" w14:textId="13AEC830" w:rsidR="00E01A75" w:rsidRDefault="00415CD5" w:rsidP="00415CD5">
      <w:r>
        <w:t>This summary documents aims to outline the current regulatory activities regarding chemical mixtures in the EU. This includes both intentional and unintentional mixtures.</w:t>
      </w:r>
    </w:p>
    <w:p w14:paraId="3342A2B8" w14:textId="7AAEC7E6" w:rsidR="00415CD5" w:rsidRDefault="00415CD5" w:rsidP="00415CD5">
      <w:pPr>
        <w:pStyle w:val="Heading2"/>
      </w:pPr>
      <w:bookmarkStart w:id="1" w:name="_Toc26964996"/>
      <w:r>
        <w:t>Definitions</w:t>
      </w:r>
      <w:bookmarkEnd w:id="1"/>
    </w:p>
    <w:p w14:paraId="547CD148" w14:textId="77777777" w:rsidR="00415CD5" w:rsidRPr="00415CD5" w:rsidRDefault="00415CD5" w:rsidP="00415CD5">
      <w:r w:rsidRPr="00415CD5">
        <w:t>Intentional mixture – manufactured products e.g. pesticide/biocide formulations, cosmetic products, laundry detergents.</w:t>
      </w:r>
    </w:p>
    <w:p w14:paraId="53758CB9" w14:textId="77777777" w:rsidR="00415CD5" w:rsidRPr="00415CD5" w:rsidRDefault="00415CD5" w:rsidP="00415CD5">
      <w:r w:rsidRPr="00415CD5">
        <w:t>Unintentional mixtures – coincidentally formed and variable mixtures originating from one or several sources, such as surface water contaminations or pesticide residues in food.</w:t>
      </w:r>
    </w:p>
    <w:p w14:paraId="5FA47FAE" w14:textId="77777777" w:rsidR="00415CD5" w:rsidRPr="00415CD5" w:rsidRDefault="00415CD5" w:rsidP="00415CD5">
      <w:r w:rsidRPr="00415CD5">
        <w:t>Combined exposure – exposure to multiple chemicals via one or several sources and routes, also called exposure to chemical mixtures.</w:t>
      </w:r>
    </w:p>
    <w:p w14:paraId="1E37B3C6" w14:textId="3802960C" w:rsidR="00415CD5" w:rsidRDefault="00415CD5" w:rsidP="00415CD5">
      <w:r w:rsidRPr="00415CD5">
        <w:t>Aggregate exposure – sum of exposures to one chemical via several sources and routes</w:t>
      </w:r>
      <w:r>
        <w:t>.</w:t>
      </w:r>
      <w:r>
        <w:fldChar w:fldCharType="begin" w:fldLock="1"/>
      </w:r>
      <w:r>
        <w:instrText>ADDIN CSL_CITATION {"citationItems":[{"id":"ITEM-1","itemData":{"author":[{"dropping-particle":"","family":"JRC","given":"","non-dropping-particle":"","parse-names":false,"suffix":""}],"id":"ITEM-1","issued":{"date-parts":[["2018"]]},"title":"JRC Science For Policy Brief: Science from nothing? Ensuring the safety of chemical mixtures","type":"report"},"uris":["http://www.mendeley.com/documents/?uuid=b62323b4-2886-472c-9469-55b75b2b2b50"]}],"mendeley":{"formattedCitation":"(JRC, 2018)","plainTextFormattedCitation":"(JRC, 2018)","previouslyFormattedCitation":"(JRC, 2018)"},"properties":{"noteIndex":0},"schema":"https://github.com/citation-style-language/schema/raw/master/csl-citation.json"}</w:instrText>
      </w:r>
      <w:r>
        <w:fldChar w:fldCharType="separate"/>
      </w:r>
      <w:r w:rsidRPr="00415CD5">
        <w:rPr>
          <w:noProof/>
        </w:rPr>
        <w:t>(JRC, 2018)</w:t>
      </w:r>
      <w:r>
        <w:fldChar w:fldCharType="end"/>
      </w:r>
    </w:p>
    <w:p w14:paraId="0B1AA7B1" w14:textId="371659D4" w:rsidR="00415CD5" w:rsidRPr="00415CD5" w:rsidRDefault="00415CD5" w:rsidP="00415CD5">
      <w:r w:rsidRPr="00415CD5">
        <w:t>Simple mixture – consists of a relatively small number of chemicals (</w:t>
      </w:r>
      <w:r w:rsidRPr="00415CD5">
        <w:rPr>
          <w:rFonts w:cstheme="minorHAnsi"/>
        </w:rPr>
        <w:t>≤</w:t>
      </w:r>
      <w:r w:rsidRPr="00415CD5">
        <w:t>10) with a qualitatively or quantitatively known composition.</w:t>
      </w:r>
    </w:p>
    <w:p w14:paraId="10DEA63A" w14:textId="5894F557" w:rsidR="00415CD5" w:rsidRDefault="00415CD5" w:rsidP="00415CD5">
      <w:r w:rsidRPr="00415CD5">
        <w:t xml:space="preserve">Complex mixture – comprises </w:t>
      </w:r>
      <w:r w:rsidRPr="00415CD5">
        <w:rPr>
          <w:rFonts w:cstheme="minorHAnsi"/>
        </w:rPr>
        <w:t>≥</w:t>
      </w:r>
      <w:r w:rsidRPr="00415CD5">
        <w:t>10 chemicals, with a composition which is not fully qualitatively or quantitatively known.</w:t>
      </w:r>
      <w:r>
        <w:fldChar w:fldCharType="begin" w:fldLock="1"/>
      </w:r>
      <w:r w:rsidR="00A46225">
        <w:instrText>ADDIN CSL_CITATION {"citationItems":[{"id":"ITEM-1","itemData":{"author":[{"dropping-particle":"","family":"Kienzler","given":"A","non-dropping-particle":"","parse-names":false,"suffix":""},{"dropping-particle":"","family":"Berggren","given":"E","non-dropping-particle":"","parse-names":false,"suffix":""},{"dropping-particle":"","family":"Bessems","given":"J","non-dropping-particle":"","parse-names":false,"suffix":""},{"dropping-particle":"","family":"Bopp","given":"S","non-dropping-particle":"","parse-names":false,"suffix":""},{"dropping-particle":"","family":"Linden","given":"A","non-dropping-particle":"van der","parse-names":false,"suffix":""},{"dropping-particle":"","family":"Worth","given":"A","non-dropping-particle":"","parse-names":false,"suffix":""}],"id":"ITEM-1","issued":{"date-parts":[["2014"]]},"title":"Assessment of Mixtures - Review of regulatory requirements and guidance","type":"report"},"uris":["http://www.mendeley.com/documents/?uuid=5c945669-900e-4dc6-b6f1-b13a81ac46bd"]}],"mendeley":{"formattedCitation":"(Kienzler &lt;i&gt;et al.&lt;/i&gt;, 2014)","plainTextFormattedCitation":"(Kienzler et al., 2014)","previouslyFormattedCitation":"(Kienzler &lt;i&gt;et al.&lt;/i&gt;, 2014)"},"properties":{"noteIndex":0},"schema":"https://github.com/citation-style-language/schema/raw/master/csl-citation.json"}</w:instrText>
      </w:r>
      <w:r>
        <w:fldChar w:fldCharType="separate"/>
      </w:r>
      <w:r w:rsidRPr="00415CD5">
        <w:rPr>
          <w:noProof/>
        </w:rPr>
        <w:t>(</w:t>
      </w:r>
      <w:proofErr w:type="spellStart"/>
      <w:r w:rsidRPr="00415CD5">
        <w:rPr>
          <w:noProof/>
        </w:rPr>
        <w:t>Kienzler</w:t>
      </w:r>
      <w:proofErr w:type="spellEnd"/>
      <w:r w:rsidRPr="00415CD5">
        <w:rPr>
          <w:noProof/>
        </w:rPr>
        <w:t xml:space="preserve"> </w:t>
      </w:r>
      <w:r w:rsidRPr="00415CD5">
        <w:rPr>
          <w:i/>
          <w:noProof/>
        </w:rPr>
        <w:t>et al.</w:t>
      </w:r>
      <w:r w:rsidRPr="00415CD5">
        <w:rPr>
          <w:noProof/>
        </w:rPr>
        <w:t>, 2014)</w:t>
      </w:r>
      <w:r>
        <w:fldChar w:fldCharType="end"/>
      </w:r>
    </w:p>
    <w:p w14:paraId="6CD0862C" w14:textId="175C3AA2" w:rsidR="00415CD5" w:rsidRDefault="00415CD5" w:rsidP="00415CD5">
      <w:pPr>
        <w:pStyle w:val="Heading2"/>
      </w:pPr>
      <w:bookmarkStart w:id="2" w:name="_Toc26964997"/>
      <w:r>
        <w:t>Challenges Identified</w:t>
      </w:r>
      <w:bookmarkEnd w:id="2"/>
    </w:p>
    <w:p w14:paraId="484226A0" w14:textId="0FCD1FFF" w:rsidR="00415CD5" w:rsidRDefault="00415CD5" w:rsidP="00415CD5">
      <w:r>
        <w:t>Humans and animals are exposed to an incalculable number of mixtures, both intentional and unintentional, as a result of exposure via food, consumer products,</w:t>
      </w:r>
      <w:r w:rsidR="008A075F">
        <w:t xml:space="preserve"> the workplace and the environment. Combined exposures to mixtures may lead to unacceptable effects, even when individual substances in mixtures are below their individual safety thresholds (specific concentration limits and generic concentration limits under the CLP Regulation). At present, the assessment and management of mixtures is only partly covered by the chemicals legislative framework, which tends to focus on individual substances and, in some cases, intentional mixtures e.g. pesticides and biocides. Unintentional mixtures are difficult to regulate as their composition is often unknown and is subject to change. At present, the assessment and management of unintentional mixtures is limited to pesticide residues in food.</w:t>
      </w:r>
      <w:r w:rsidR="00A46225">
        <w:fldChar w:fldCharType="begin" w:fldLock="1"/>
      </w:r>
      <w:r w:rsidR="00A46225">
        <w:instrText>ADDIN CSL_CITATION {"citationItems":[{"id":"ITEM-1","itemData":{"author":[{"dropping-particle":"","family":"JRC","given":"","non-dropping-particle":"","parse-names":false,"suffix":""}],"id":"ITEM-1","issued":{"date-parts":[["2018"]]},"title":"JRC Science For Policy Brief: Science from nothing? Ensuring the safety of chemical mixtures","type":"report"},"uris":["http://www.mendeley.com/documents/?uuid=b62323b4-2886-472c-9469-55b75b2b2b50"]}],"mendeley":{"formattedCitation":"(JRC, 2018)","plainTextFormattedCitation":"(JRC, 2018)","previouslyFormattedCitation":"(JRC, 2018)"},"properties":{"noteIndex":0},"schema":"https://github.com/citation-style-language/schema/raw/master/csl-citation.json"}</w:instrText>
      </w:r>
      <w:r w:rsidR="00A46225">
        <w:fldChar w:fldCharType="separate"/>
      </w:r>
      <w:r w:rsidR="00A46225" w:rsidRPr="00A46225">
        <w:rPr>
          <w:noProof/>
        </w:rPr>
        <w:t>(JRC, 2018)</w:t>
      </w:r>
      <w:r w:rsidR="00A46225">
        <w:fldChar w:fldCharType="end"/>
      </w:r>
    </w:p>
    <w:p w14:paraId="39B1F56C" w14:textId="50C3A55F" w:rsidR="008A075F" w:rsidRDefault="00A46225" w:rsidP="00415CD5">
      <w:r>
        <w:t>In 2009 a study by the Danish Authorities was published which considered the exposure of toddlers to chemical mixtures in the form of multiple endocrine disruptors (EDs) from multiple sources. The exposure sources considered were food, indoor air and dust, clothes and shoes, contact with toys, application of healthcare or hygiene products and contact with articles (changing mats and bath mats). On the basis of the predicted concentration of various substances it was concluded that there was a need to reduce exposure to anti-androgen and oestrogen substances via the above-mentioned exposure sources.</w:t>
      </w:r>
      <w:r>
        <w:fldChar w:fldCharType="begin" w:fldLock="1"/>
      </w:r>
      <w:r>
        <w:instrText>ADDIN CSL_CITATION {"citationItems":[{"id":"ITEM-1","itemData":{"author":[{"dropping-particle":"","family":"European Commission","given":"","non-dropping-particle":"","parse-names":false,"suffix":""}],"id":"ITEM-1","issued":{"date-parts":[["2012"]]},"title":"Communication from the Commission to the Council: The combination effects of chemicals - Chemical Mixtures","type":"legal_case"},"uris":["http://www.mendeley.com/documents/?uuid=56ef3279-821c-466c-b942-1cef90b81bf9"]}],"mendeley":{"formattedCitation":"(European Commission, 2012)","plainTextFormattedCitation":"(European Commission, 2012)","previouslyFormattedCitation":"(European Commission, 2012)"},"properties":{"noteIndex":0},"schema":"https://github.com/citation-style-language/schema/raw/master/csl-citation.json"}</w:instrText>
      </w:r>
      <w:r>
        <w:fldChar w:fldCharType="separate"/>
      </w:r>
      <w:r w:rsidRPr="00A46225">
        <w:rPr>
          <w:noProof/>
        </w:rPr>
        <w:t>(European Commission, 2012)</w:t>
      </w:r>
      <w:r>
        <w:fldChar w:fldCharType="end"/>
      </w:r>
    </w:p>
    <w:p w14:paraId="7CAC1D4D" w14:textId="7527CD07" w:rsidR="00A46225" w:rsidRDefault="00ED4486" w:rsidP="00415CD5">
      <w:r>
        <w:t xml:space="preserve">It was acknowledged </w:t>
      </w:r>
      <w:r w:rsidR="00FE7B29">
        <w:t>by the Commission in their communication to the Council (2012)</w:t>
      </w:r>
      <w:r w:rsidR="00254632">
        <w:t xml:space="preserve">, </w:t>
      </w:r>
      <w:r w:rsidR="003E0203">
        <w:t>that current EU legislation does not provide for a comprehensive and integrated assess</w:t>
      </w:r>
      <w:bookmarkStart w:id="3" w:name="_GoBack"/>
      <w:bookmarkEnd w:id="3"/>
      <w:r w:rsidR="003E0203">
        <w:t>ment of cumulative effects of different chemicals</w:t>
      </w:r>
      <w:r w:rsidR="00F52FC5">
        <w:t>, taking into account different routes of exp</w:t>
      </w:r>
      <w:r w:rsidR="00A367A7">
        <w:t>osure</w:t>
      </w:r>
      <w:r w:rsidR="003B11E5">
        <w:t xml:space="preserve">. </w:t>
      </w:r>
      <w:r w:rsidR="003B72BA">
        <w:t xml:space="preserve">Where </w:t>
      </w:r>
      <w:r w:rsidR="00DA7C9E">
        <w:t>mixtures contain a substance regulated under different pieces of EU legislation</w:t>
      </w:r>
      <w:r w:rsidR="003D64E3">
        <w:t xml:space="preserve">, no mechanism exists for promoting an integrated and coordinated assessment across the different pieces of legislation. </w:t>
      </w:r>
      <w:r w:rsidR="008C3E4A">
        <w:t xml:space="preserve">The Commission identified that where </w:t>
      </w:r>
      <w:r w:rsidR="0086117A">
        <w:t>chemicals have a similar mode of action</w:t>
      </w:r>
      <w:r w:rsidR="009A34D4">
        <w:t xml:space="preserve"> there is the potential for </w:t>
      </w:r>
      <w:r w:rsidR="00B85E6F">
        <w:t xml:space="preserve">cumulative </w:t>
      </w:r>
      <w:r w:rsidR="00B85E6F">
        <w:lastRenderedPageBreak/>
        <w:t>effects</w:t>
      </w:r>
      <w:r w:rsidR="009E7DFB">
        <w:t>.</w:t>
      </w:r>
      <w:r w:rsidR="00CE4306">
        <w:t xml:space="preserve"> </w:t>
      </w:r>
      <w:r w:rsidR="00A46225">
        <w:t>The majority of chemical legislation is built on the assessment of individual substances. There is a need to understand where, how often and to what extent humans and the environment are exposed to certain chemical mixtures and temporal changes in exposure to these chemical mixtures. In order to do this, it has been proposed that monitoring and modelling are utilised. At present one the largest areas of concern in mixture assessments, is the lack of data regarding mode of action, including a defined set of criteria for how to characterise or predict a mode of action for data-poor chemicals.</w:t>
      </w:r>
      <w:r w:rsidR="00A46225">
        <w:fldChar w:fldCharType="begin" w:fldLock="1"/>
      </w:r>
      <w:r w:rsidR="000515A6">
        <w:instrText>ADDIN CSL_CITATION {"citationItems":[{"id":"ITEM-1","itemData":{"author":[{"dropping-particle":"","family":"European Commission","given":"","non-dropping-particle":"","parse-names":false,"suffix":""}],"id":"ITEM-1","issued":{"date-parts":[["2012"]]},"title":"Communication from the Commission to the Council: The combination effects of chemicals - Chemical Mixtures","type":"legal_case"},"uris":["http://www.mendeley.com/documents/?uuid=56ef3279-821c-466c-b942-1cef90b81bf9"]}],"mendeley":{"formattedCitation":"(European Commission, 2012)","plainTextFormattedCitation":"(European Commission, 2012)","previouslyFormattedCitation":"(European Commission, 2012)"},"properties":{"noteIndex":0},"schema":"https://github.com/citation-style-language/schema/raw/master/csl-citation.json"}</w:instrText>
      </w:r>
      <w:r w:rsidR="00A46225">
        <w:fldChar w:fldCharType="separate"/>
      </w:r>
      <w:r w:rsidR="00A46225" w:rsidRPr="00A46225">
        <w:rPr>
          <w:noProof/>
        </w:rPr>
        <w:t>(European Commission, 2012)</w:t>
      </w:r>
      <w:r w:rsidR="00A46225">
        <w:fldChar w:fldCharType="end"/>
      </w:r>
    </w:p>
    <w:p w14:paraId="1BB18DA3" w14:textId="4CFBD3C7" w:rsidR="00A46225" w:rsidRDefault="00A46225" w:rsidP="00415CD5">
      <w:r>
        <w:t>Challenges in mixture assessment can be separated into three areas: combined exposure, combined effects, and combined risks.</w:t>
      </w:r>
    </w:p>
    <w:p w14:paraId="73F8487D" w14:textId="3A16916F" w:rsidR="00A46225" w:rsidRDefault="00A46225" w:rsidP="00A46225">
      <w:pPr>
        <w:pStyle w:val="Heading3"/>
      </w:pPr>
      <w:r>
        <w:t>Combined exposure</w:t>
      </w:r>
    </w:p>
    <w:p w14:paraId="0ED625F2" w14:textId="4B2DDEE4" w:rsidR="00A46225" w:rsidRDefault="00A46225" w:rsidP="00A46225">
      <w:r>
        <w:t xml:space="preserve">As previously mentioned, identifying the composition of unintentional mixtures can be difficult and if certain constituents are not accounted for during assessment, then there can be an underestimation of the risks posed. Sequential exposures to substances and mixtures </w:t>
      </w:r>
      <w:r w:rsidR="00337DBD">
        <w:t>at different points in time can be difficult to assess, but biomonitoring of chemical concentrations in humans and animals has potential to identify realistic co-exposure</w:t>
      </w:r>
      <w:r w:rsidR="00954255">
        <w:t xml:space="preserve">. </w:t>
      </w:r>
    </w:p>
    <w:p w14:paraId="39CCAABE" w14:textId="54C5CE1F" w:rsidR="00954255" w:rsidRDefault="00954255" w:rsidP="00A46225">
      <w:r>
        <w:t>Chemical monitoring data</w:t>
      </w:r>
      <w:r w:rsidR="000515A6">
        <w:t xml:space="preserve"> is increasing as a result of the European Commission platform IPCHEM, but it is still lacking in places and in general, exposure modelling tools require further development. </w:t>
      </w:r>
      <w:r w:rsidR="000515A6">
        <w:fldChar w:fldCharType="begin" w:fldLock="1"/>
      </w:r>
      <w:r w:rsidR="00047708">
        <w:instrText>ADDIN CSL_CITATION {"citationItems":[{"id":"ITEM-1","itemData":{"author":[{"dropping-particle":"","family":"JRC","given":"","non-dropping-particle":"","parse-names":false,"suffix":""}],"id":"ITEM-1","issued":{"date-parts":[["2018"]]},"title":"JRC Science For Policy Brief: Science from nothing? Ensuring the safety of chemical mixtures","type":"report"},"uris":["http://www.mendeley.com/documents/?uuid=b62323b4-2886-472c-9469-55b75b2b2b50"]}],"mendeley":{"formattedCitation":"(JRC, 2018)","plainTextFormattedCitation":"(JRC, 2018)","previouslyFormattedCitation":"(JRC, 2018)"},"properties":{"noteIndex":0},"schema":"https://github.com/citation-style-language/schema/raw/master/csl-citation.json"}</w:instrText>
      </w:r>
      <w:r w:rsidR="000515A6">
        <w:fldChar w:fldCharType="separate"/>
      </w:r>
      <w:r w:rsidR="000515A6" w:rsidRPr="000515A6">
        <w:rPr>
          <w:noProof/>
        </w:rPr>
        <w:t>(JRC, 2018)</w:t>
      </w:r>
      <w:r w:rsidR="000515A6">
        <w:fldChar w:fldCharType="end"/>
      </w:r>
    </w:p>
    <w:p w14:paraId="74CEF49C" w14:textId="7194F73E" w:rsidR="000515A6" w:rsidRDefault="000515A6" w:rsidP="000515A6">
      <w:pPr>
        <w:pStyle w:val="Heading3"/>
      </w:pPr>
      <w:r>
        <w:t>Combined effects</w:t>
      </w:r>
    </w:p>
    <w:p w14:paraId="7ADDF311" w14:textId="74B820A8" w:rsidR="000515A6" w:rsidRDefault="00850469" w:rsidP="000515A6">
      <w:r>
        <w:t xml:space="preserve">At present it is not feasible to test all possible mixtures </w:t>
      </w:r>
      <w:r w:rsidR="00B5391E">
        <w:t>given the large number of potential combinations</w:t>
      </w:r>
      <w:r w:rsidR="001E3A15">
        <w:t xml:space="preserve">. The prediction of mixture effects is based on individual chemicals </w:t>
      </w:r>
      <w:r w:rsidR="00D700A6">
        <w:t>and this is limited by the lack of information on</w:t>
      </w:r>
      <w:r w:rsidR="0065798E">
        <w:t xml:space="preserve"> toxicological effects and modes of action. New modelling tools are required in order to</w:t>
      </w:r>
      <w:r w:rsidR="00060828">
        <w:t xml:space="preserve"> rely less on </w:t>
      </w:r>
      <w:r w:rsidR="00060828" w:rsidRPr="00060828">
        <w:rPr>
          <w:i/>
          <w:iCs/>
        </w:rPr>
        <w:t>in vivo</w:t>
      </w:r>
      <w:r w:rsidR="00060828">
        <w:t xml:space="preserve"> testing.</w:t>
      </w:r>
    </w:p>
    <w:p w14:paraId="3E3CC871" w14:textId="41A001F2" w:rsidR="00060828" w:rsidRDefault="00060828" w:rsidP="00060828">
      <w:pPr>
        <w:pStyle w:val="Heading3"/>
      </w:pPr>
      <w:r>
        <w:t>Combined risks</w:t>
      </w:r>
    </w:p>
    <w:p w14:paraId="32777163" w14:textId="052FFE43" w:rsidR="00060828" w:rsidRPr="00060828" w:rsidRDefault="005D2CA5" w:rsidP="00060828">
      <w:r>
        <w:t xml:space="preserve">It is not only the hazards presented by chemicals mixtures which pose a problem. Managing the risks from exposure to mixtures also presents </w:t>
      </w:r>
      <w:r w:rsidR="00445F6C">
        <w:t>a policy challenge.</w:t>
      </w:r>
      <w:r w:rsidR="00C73410">
        <w:t xml:space="preserve"> On an individual level, substances </w:t>
      </w:r>
      <w:r w:rsidR="003D2998">
        <w:t xml:space="preserve">or intentional mixtures </w:t>
      </w:r>
      <w:r w:rsidR="004B7D27">
        <w:t xml:space="preserve">may be present </w:t>
      </w:r>
      <w:r w:rsidR="00B243A6">
        <w:t>at a safe level of exposure (</w:t>
      </w:r>
      <w:r w:rsidR="00B243A6">
        <w:rPr>
          <w:rFonts w:cstheme="minorHAnsi"/>
        </w:rPr>
        <w:t>≤</w:t>
      </w:r>
      <w:r w:rsidR="003D2998">
        <w:rPr>
          <w:rFonts w:cstheme="minorHAnsi"/>
        </w:rPr>
        <w:t xml:space="preserve"> </w:t>
      </w:r>
      <w:r w:rsidR="00B243A6">
        <w:t>specific/generic concentration limit)</w:t>
      </w:r>
      <w:r w:rsidR="003D2998">
        <w:t>, but the combination of substances or mixtures may pose a risk</w:t>
      </w:r>
      <w:r w:rsidR="00D06033">
        <w:t xml:space="preserve">. </w:t>
      </w:r>
      <w:r w:rsidR="00043844">
        <w:t xml:space="preserve">Certain mixtures may be regulated under certain sectors, but the lack of regulation under other sectors does not suggest a </w:t>
      </w:r>
      <w:r w:rsidR="000721A2">
        <w:t>lack of exposure. Therefore, risk management decisions</w:t>
      </w:r>
      <w:r w:rsidR="006347E9">
        <w:t xml:space="preserve"> may need to be taken regarding </w:t>
      </w:r>
      <w:r w:rsidR="00F36CD6">
        <w:t xml:space="preserve">which chemicals or sources of chemicals </w:t>
      </w:r>
      <w:r w:rsidR="008C3F1E">
        <w:t xml:space="preserve">should be subject to </w:t>
      </w:r>
      <w:r w:rsidR="006D60D0">
        <w:t>regulation.</w:t>
      </w:r>
      <w:r w:rsidR="001911EB">
        <w:t xml:space="preserve"> In order to do this, priority mixtures of concern need to be identified</w:t>
      </w:r>
      <w:r w:rsidR="0003686E">
        <w:t xml:space="preserve">, as well as their individual </w:t>
      </w:r>
      <w:r w:rsidR="00047708">
        <w:t>constituents which drive their risk.</w:t>
      </w:r>
      <w:r w:rsidR="00047708">
        <w:fldChar w:fldCharType="begin" w:fldLock="1"/>
      </w:r>
      <w:r w:rsidR="00CB1C81">
        <w:instrText>ADDIN CSL_CITATION {"citationItems":[{"id":"ITEM-1","itemData":{"author":[{"dropping-particle":"","family":"JRC","given":"","non-dropping-particle":"","parse-names":false,"suffix":""}],"id":"ITEM-1","issued":{"date-parts":[["2018"]]},"title":"JRC Science For Policy Brief: Science from nothing? Ensuring the safety of chemical mixtures","type":"report"},"uris":["http://www.mendeley.com/documents/?uuid=b62323b4-2886-472c-9469-55b75b2b2b50"]}],"mendeley":{"formattedCitation":"(JRC, 2018)","plainTextFormattedCitation":"(JRC, 2018)","previouslyFormattedCitation":"(JRC, 2018)"},"properties":{"noteIndex":0},"schema":"https://github.com/citation-style-language/schema/raw/master/csl-citation.json"}</w:instrText>
      </w:r>
      <w:r w:rsidR="00047708">
        <w:fldChar w:fldCharType="separate"/>
      </w:r>
      <w:r w:rsidR="00047708" w:rsidRPr="00047708">
        <w:rPr>
          <w:noProof/>
        </w:rPr>
        <w:t>(JRC, 2018)</w:t>
      </w:r>
      <w:r w:rsidR="00047708">
        <w:fldChar w:fldCharType="end"/>
      </w:r>
    </w:p>
    <w:p w14:paraId="5E016E73" w14:textId="62A2A053" w:rsidR="00415CD5" w:rsidRDefault="00415CD5" w:rsidP="00415CD5">
      <w:pPr>
        <w:pStyle w:val="Heading2"/>
      </w:pPr>
      <w:bookmarkStart w:id="4" w:name="_Toc26964998"/>
      <w:r>
        <w:t>Assessment of Chemical Mixtures</w:t>
      </w:r>
      <w:bookmarkEnd w:id="4"/>
    </w:p>
    <w:p w14:paraId="13ED8D10" w14:textId="25187F38" w:rsidR="00415CD5" w:rsidRDefault="00245630" w:rsidP="00245630">
      <w:r>
        <w:t xml:space="preserve">There are currently two approaches to </w:t>
      </w:r>
      <w:r w:rsidR="007E09B3">
        <w:t>assessment of chemical mixtures: testing of the mixture as a whole; or estimating the combined risk based on the concentration and toxicological information of the individual substances within the mixture.</w:t>
      </w:r>
      <w:r w:rsidR="001B2692">
        <w:t xml:space="preserve"> </w:t>
      </w:r>
      <w:r w:rsidR="00EA4E8A">
        <w:t>International frameworks exist for the assessment of mixtures</w:t>
      </w:r>
      <w:r w:rsidR="009A0E29">
        <w:t>, outlined by WHO and IPCS.</w:t>
      </w:r>
    </w:p>
    <w:p w14:paraId="4A622131" w14:textId="6B2B06E3" w:rsidR="00A85615" w:rsidRDefault="003E72EC" w:rsidP="00245630">
      <w:r>
        <w:t>For intentional mixtures</w:t>
      </w:r>
      <w:r w:rsidR="00CC2C24">
        <w:t xml:space="preserve">, the composition is </w:t>
      </w:r>
      <w:r w:rsidR="00160AAF">
        <w:t>known,</w:t>
      </w:r>
      <w:r w:rsidR="00CC2C24">
        <w:t xml:space="preserve"> and assessments can be based on the known constituents</w:t>
      </w:r>
      <w:r w:rsidR="00213C93">
        <w:t xml:space="preserve"> and data can be supplemented by tests on the mixture as a whole.</w:t>
      </w:r>
      <w:r w:rsidR="002E1EC8">
        <w:t xml:space="preserve"> This approach is taken for mixtures under CLP, cosmetics</w:t>
      </w:r>
      <w:r w:rsidR="00A50C01">
        <w:t xml:space="preserve">, medicinal products for human use and veterinary </w:t>
      </w:r>
      <w:r w:rsidR="0050126A">
        <w:t>medicines.</w:t>
      </w:r>
      <w:r w:rsidR="0085689D">
        <w:t xml:space="preserve"> </w:t>
      </w:r>
    </w:p>
    <w:p w14:paraId="37D53C2B" w14:textId="3043E5C6" w:rsidR="003E72EC" w:rsidRDefault="00EE757B" w:rsidP="00245630">
      <w:r>
        <w:lastRenderedPageBreak/>
        <w:t>When mixtures originate from a single source, e.g. discharges to the environment from</w:t>
      </w:r>
      <w:r w:rsidR="003F39C0">
        <w:t xml:space="preserve"> production facilities,</w:t>
      </w:r>
      <w:r w:rsidR="00175988">
        <w:t xml:space="preserve"> if the composition is known or can be identified by analytical </w:t>
      </w:r>
      <w:r w:rsidR="00160AAF">
        <w:t>methods</w:t>
      </w:r>
      <w:r w:rsidR="00175988">
        <w:t xml:space="preserve">, then assessments can be made based on knowledge of the constituents. </w:t>
      </w:r>
      <w:r w:rsidR="00F15306">
        <w:t xml:space="preserve">If the composition is </w:t>
      </w:r>
      <w:r w:rsidR="00D5051B">
        <w:t>unknown,</w:t>
      </w:r>
      <w:r w:rsidR="00F15306">
        <w:t xml:space="preserve"> </w:t>
      </w:r>
      <w:r w:rsidR="00224196">
        <w:t>then assessment has to be made based</w:t>
      </w:r>
      <w:r w:rsidR="00A85615">
        <w:t xml:space="preserve"> on the whole mixture. Very few pieces of EU legislation require the testing of whole mixtures. However, the Water Framework Directive requirements for water bodies focused not only on individual concentrations of substances, but also their effect in combination.</w:t>
      </w:r>
    </w:p>
    <w:p w14:paraId="6C1E193C" w14:textId="217EBD86" w:rsidR="00A85615" w:rsidRDefault="00A85615" w:rsidP="00245630">
      <w:r>
        <w:t xml:space="preserve">There are very few examples of assessment of mixtures which originate from multiple sources or exposure occurs through multiple pathways. REACH guidance ahs been developed for multiple </w:t>
      </w:r>
      <w:r w:rsidR="00D5051B">
        <w:t>sources</w:t>
      </w:r>
      <w:r>
        <w:t xml:space="preserve"> of exposure to single substances and specific cases for assessment of several closely related and similarly acting substance, e.g. different salts of the same metal. In the </w:t>
      </w:r>
      <w:r w:rsidR="00D5051B">
        <w:t>workplace</w:t>
      </w:r>
      <w:r>
        <w:t xml:space="preserve">, employers are required to assess the risks presented by all hazardous chemical agents in combination and EFSA have developed approaches for taking account of cumulative and synergistic effects when </w:t>
      </w:r>
      <w:r w:rsidR="00D5051B">
        <w:t>maximum</w:t>
      </w:r>
      <w:r>
        <w:t xml:space="preserve"> residue limits (MRLs) for pesticides with similar mode of action. EFSA are also developing a methodology for occupational exposure to pesticides with different modes of action.</w:t>
      </w:r>
    </w:p>
    <w:p w14:paraId="3A3B8453" w14:textId="3D59FC74" w:rsidR="00A85615" w:rsidRDefault="00A85615" w:rsidP="00245630">
      <w:r>
        <w:t xml:space="preserve">Work from the </w:t>
      </w:r>
      <w:r w:rsidR="00D5051B">
        <w:t>Scientific</w:t>
      </w:r>
      <w:r>
        <w:t xml:space="preserve"> Committees of the Commission has indicated that, under certain conditions, chemicals present </w:t>
      </w:r>
      <w:r w:rsidR="00D5051B">
        <w:t>in a</w:t>
      </w:r>
      <w:r>
        <w:t xml:space="preserve"> mixture will act jointly in a way that affects the overall toxicity, particularly those with a common mode of action. Those with a common mode of action can act together to produce combination effects that are greater than the effects of each of the constituents of the mixture individually. In 2012 the Scientific Committees highlighted that the lack of robust evidence available to indicate that exposure to a mixture of chemicals with different modes of action where the individual constituents </w:t>
      </w:r>
      <w:r w:rsidR="006A3B12">
        <w:t xml:space="preserve">are present at or below their </w:t>
      </w:r>
      <w:r w:rsidR="00147D04">
        <w:t>zero-effect</w:t>
      </w:r>
      <w:r w:rsidR="006A3B12">
        <w:t xml:space="preserve"> level</w:t>
      </w:r>
      <w:r>
        <w:t xml:space="preserve"> presents a health concern</w:t>
      </w:r>
      <w:r w:rsidR="006A3B12">
        <w:t>. Their conclusion in related to human health was “if the intended level of protection is achieved for individual substance, the level of concern for mixtures of dissimilarly acting substances should be assumed to be negligible”.</w:t>
      </w:r>
    </w:p>
    <w:p w14:paraId="17E25E94" w14:textId="3A4BE406" w:rsidR="006A3B12" w:rsidRDefault="006A3B12" w:rsidP="00245630">
      <w:r>
        <w:t xml:space="preserve">The Scientific Committees </w:t>
      </w:r>
      <w:r w:rsidR="006F7DBC">
        <w:t xml:space="preserve">have recommended that for mixture constituents which have a similar </w:t>
      </w:r>
      <w:r w:rsidR="00147D04">
        <w:t>mode</w:t>
      </w:r>
      <w:r w:rsidR="006F7DBC">
        <w:t xml:space="preserve"> of action, a dose/concentration addition approach is appropriate. For chemical mixtures where the constituents have different or unknown modes of action, a dose/concentration addition approach may overestimate toxicity of the mixture. This being said, an independent action approach may underestimate toxicity. As such, in order to provide an adequate level of protection, it is proposed that dose/concentration addition approaches should be used for both known and unknown modes of action. </w:t>
      </w:r>
      <w:r w:rsidR="006F7DBC">
        <w:fldChar w:fldCharType="begin" w:fldLock="1"/>
      </w:r>
      <w:r w:rsidR="00E74D6E">
        <w:instrText>ADDIN CSL_CITATION {"citationItems":[{"id":"ITEM-1","itemData":{"author":[{"dropping-particle":"","family":"European Commission","given":"","non-dropping-particle":"","parse-names":false,"suffix":""}],"id":"ITEM-1","issued":{"date-parts":[["2012"]]},"title":"Communication from the Commission to the Council: The combination effects of chemicals - Chemical Mixtures","type":"legal_case"},"uris":["http://www.mendeley.com/documents/?uuid=56ef3279-821c-466c-b942-1cef90b81bf9"]}],"mendeley":{"formattedCitation":"(European Commission, 2012)","plainTextFormattedCitation":"(European Commission, 2012)","previouslyFormattedCitation":"(European Commission, 2012)"},"properties":{"noteIndex":0},"schema":"https://github.com/citation-style-language/schema/raw/master/csl-citation.json"}</w:instrText>
      </w:r>
      <w:r w:rsidR="006F7DBC">
        <w:fldChar w:fldCharType="separate"/>
      </w:r>
      <w:r w:rsidR="006F7DBC" w:rsidRPr="006F7DBC">
        <w:rPr>
          <w:noProof/>
        </w:rPr>
        <w:t>(European Commission, 2012)</w:t>
      </w:r>
      <w:r w:rsidR="006F7DBC">
        <w:fldChar w:fldCharType="end"/>
      </w:r>
      <w:r w:rsidR="006F7DBC">
        <w:t xml:space="preserve"> For pesticides, EFSA has proposed a tiered approach for cumulative risk assessment of human exposure to pesticides. There is a possibility that this approach could be applied to other groups of mixtures.</w:t>
      </w:r>
      <w:r w:rsidR="009E689C">
        <w:fldChar w:fldCharType="begin" w:fldLock="1"/>
      </w:r>
      <w:r w:rsidR="009E689C">
        <w:instrText>ADDIN CSL_CITATION {"citationItems":[{"id":"ITEM-1","itemData":{"author":[{"dropping-particle":"","family":"Kienzler","given":"A","non-dropping-particle":"","parse-names":false,"suffix":""},{"dropping-particle":"","family":"Berggren","given":"E","non-dropping-particle":"","parse-names":false,"suffix":""},{"dropping-particle":"","family":"Bessems","given":"J","non-dropping-particle":"","parse-names":false,"suffix":""},{"dropping-particle":"","family":"Bopp","given":"S","non-dropping-particle":"","parse-names":false,"suffix":""},{"dropping-particle":"","family":"Linden","given":"A","non-dropping-particle":"van der","parse-names":false,"suffix":""},{"dropping-particle":"","family":"Worth","given":"A","non-dropping-particle":"","parse-names":false,"suffix":""}],"id":"ITEM-1","issued":{"date-parts":[["2014"]]},"title":"Assessment of Mixtures - Review of regulatory requirements and guidance","type":"report"},"uris":["http://www.mendeley.com/documents/?uuid=5c945669-900e-4dc6-b6f1-b13a81ac46bd"]}],"mendeley":{"formattedCitation":"(Kienzler &lt;i&gt;et al.&lt;/i&gt;, 2014)","plainTextFormattedCitation":"(Kienzler et al., 2014)","previouslyFormattedCitation":"(Kienzler &lt;i&gt;et al.&lt;/i&gt;, 2014)"},"properties":{"noteIndex":0},"schema":"https://github.com/citation-style-language/schema/raw/master/csl-citation.json"}</w:instrText>
      </w:r>
      <w:r w:rsidR="009E689C">
        <w:fldChar w:fldCharType="separate"/>
      </w:r>
      <w:r w:rsidR="009E689C" w:rsidRPr="009E689C">
        <w:rPr>
          <w:noProof/>
        </w:rPr>
        <w:t>(</w:t>
      </w:r>
      <w:proofErr w:type="spellStart"/>
      <w:r w:rsidR="009E689C" w:rsidRPr="009E689C">
        <w:rPr>
          <w:noProof/>
        </w:rPr>
        <w:t>Kienzler</w:t>
      </w:r>
      <w:proofErr w:type="spellEnd"/>
      <w:r w:rsidR="009E689C" w:rsidRPr="009E689C">
        <w:rPr>
          <w:noProof/>
        </w:rPr>
        <w:t xml:space="preserve"> </w:t>
      </w:r>
      <w:r w:rsidR="009E689C" w:rsidRPr="009E689C">
        <w:rPr>
          <w:i/>
          <w:noProof/>
        </w:rPr>
        <w:t>et al.</w:t>
      </w:r>
      <w:r w:rsidR="009E689C" w:rsidRPr="009E689C">
        <w:rPr>
          <w:noProof/>
        </w:rPr>
        <w:t>, 2014)</w:t>
      </w:r>
      <w:r w:rsidR="009E689C">
        <w:fldChar w:fldCharType="end"/>
      </w:r>
      <w:r w:rsidR="009E689C">
        <w:t xml:space="preserve"> </w:t>
      </w:r>
    </w:p>
    <w:p w14:paraId="0EAC2242" w14:textId="49A4C4A6" w:rsidR="006F7DBC" w:rsidRDefault="006F7DBC" w:rsidP="00245630">
      <w:r>
        <w:t>EDC-MixRisk believe that current EU regulations concerning man-made chemicals underestimate the health risks associated with combined exposure to (potential) EDCs. So far, interdisciplinary collaborations and the integration of multiple methods have proven successful for developing novel approaches for testing and risk assessment of EDC mixtures.</w:t>
      </w:r>
      <w:r w:rsidR="00E74D6E">
        <w:t xml:space="preserve"> These approaches can be used to define acceptable levels of exposure based in epidemiological data or integration of human and experimental data. Currently, whole mixture approaches can only be used retrospectively for chemicals for which epidemiological data are available. For “new” chemicals, a prospective risk assessment is required. EDC-MixRisk have concluded that EDCs and mixtures require complementary models for testing, which cover several molecular, cellular and organismal effects. It is the hope of EDC-MixRisk that identifying and testing a small number of chemical mixtures that are broadly relevant for the exposed population could pave the way for similar efforts at an EU and global level. It is also hoped that new approaches may provide empirical support for estimating the size of a potential additional mixture assessment factor that could take mixtures into account in chemical risk assessment. </w:t>
      </w:r>
      <w:r w:rsidR="00E74D6E">
        <w:fldChar w:fldCharType="begin" w:fldLock="1"/>
      </w:r>
      <w:r w:rsidR="005A1FB3">
        <w:instrText>ADDIN CSL_CITATION {"citationItems":[{"id":"ITEM-1","itemData":{"author":[{"dropping-particle":"","family":"Berman","given":"A","non-dropping-particle":"","parse-names":false,"suffix":""},{"dropping-particle":"","family":"Rüegg","given":"J","non-dropping-particle":"","parse-names":false,"suffix":""},{"dropping-particle":"","family":"Öberg","given":"M","non-dropping-particle":"","parse-names":false,"suffix":""},{"dropping-particle":"","family":"Drakvik","given":"E","non-dropping-particle":"","parse-names":false,"suffix":""},{"dropping-particle":"","family":"Jönsson","given":"M","non-dropping-particle":"","parse-names":false,"suffix":""},{"dropping-particle":"","family":"Rudén","given":"C","non-dropping-particle":"","parse-names":false,"suffix":""},{"dropping-particle":"","family":"Bornehag","given":"C-G","non-dropping-particle":"","parse-names":false,"suffix":""},{"dropping-particle":"","family":"Lindh","given":"C","non-dropping-particle":"","parse-names":false,"suffix":""},{"dropping-particle":"","family":"Sturve","given":"J","non-dropping-particle":"","parse-names":false,"suffix":""},{"dropping-particle":"","family":"Nånberg","given":"E","non-dropping-particle":"","parse-names":false,"suffix":""},{"dropping-particle":"","family":"Demeneix","given":"B","non-dropping-particle":"","parse-names":false,"suffix":""},{"dropping-particle":"","family":"Fini","given":"J-B","non-dropping-particle":"","parse-names":false,"suffix":""},{"dropping-particle":"","family":"Kiess","given":"W","non-dropping-particle":"","parse-names":false,"suffix":""},{"dropping-particle":"","family":"Kitraki","given":"E","non-dropping-particle":"","parse-names":false,"suffix":""},{"dropping-particle":"","family":"Kiviranta","given":"H","non-dropping-particle":"","parse-names":false,"suffix":""},{"dropping-particle":"","family":"Testa","given":"G","non-dropping-particle":"","parse-names":false,"suffix":""},{"dropping-particle":"","family":"Gennings","given":"C","non-dropping-particle":"","parse-names":false,"suffix":""}],"id":"ITEM-1","issued":{"date-parts":[["2019"]]},"title":"EDC-MixRiskPolicy Brief","type":"report"},"uris":["http://www.mendeley.com/documents/?uuid=8b6d4f0b-b6fd-4534-9ee9-ab86552aa55f"]}],"mendeley":{"formattedCitation":"(Berman &lt;i&gt;et al.&lt;/i&gt;, 2019)","plainTextFormattedCitation":"(Berman et al., 2019)","previouslyFormattedCitation":"(Berman &lt;i&gt;et al.&lt;/i&gt;, 2019)"},"properties":{"noteIndex":0},"schema":"https://github.com/citation-style-language/schema/raw/master/csl-citation.json"}</w:instrText>
      </w:r>
      <w:r w:rsidR="00E74D6E">
        <w:fldChar w:fldCharType="separate"/>
      </w:r>
      <w:r w:rsidR="00E74D6E" w:rsidRPr="00E74D6E">
        <w:rPr>
          <w:noProof/>
        </w:rPr>
        <w:t xml:space="preserve">(Berman </w:t>
      </w:r>
      <w:r w:rsidR="00E74D6E" w:rsidRPr="00E74D6E">
        <w:rPr>
          <w:i/>
          <w:noProof/>
        </w:rPr>
        <w:t>et al.</w:t>
      </w:r>
      <w:r w:rsidR="00E74D6E" w:rsidRPr="00E74D6E">
        <w:rPr>
          <w:noProof/>
        </w:rPr>
        <w:t>, 2019)</w:t>
      </w:r>
      <w:r w:rsidR="00E74D6E">
        <w:fldChar w:fldCharType="end"/>
      </w:r>
    </w:p>
    <w:p w14:paraId="65B8E022" w14:textId="261CF822" w:rsidR="00415CD5" w:rsidRPr="00415CD5" w:rsidRDefault="00415CD5" w:rsidP="00415CD5">
      <w:pPr>
        <w:pStyle w:val="Heading2"/>
      </w:pPr>
      <w:bookmarkStart w:id="5" w:name="_Toc26964999"/>
      <w:r>
        <w:lastRenderedPageBreak/>
        <w:t>Activities to Address Chemical Mixtures in the EU</w:t>
      </w:r>
      <w:bookmarkEnd w:id="5"/>
    </w:p>
    <w:p w14:paraId="76295091" w14:textId="77777777" w:rsidR="0005526F" w:rsidRDefault="0005526F" w:rsidP="0005526F">
      <w:pPr>
        <w:pStyle w:val="Heading3"/>
      </w:pPr>
      <w:r>
        <w:t>The Joint Research Council (JRC)</w:t>
      </w:r>
    </w:p>
    <w:p w14:paraId="2F44E08D" w14:textId="0B0CBC44" w:rsidR="008325C3" w:rsidRDefault="00005416" w:rsidP="0005526F">
      <w:r>
        <w:t xml:space="preserve">The JRC provides scientific input to and facilitates discussions with EU regulatory </w:t>
      </w:r>
      <w:r w:rsidR="00D91ABE">
        <w:t>bodies from Commission DGs</w:t>
      </w:r>
      <w:r w:rsidR="00F15205">
        <w:t xml:space="preserve"> and Agencies, whilst also being actively involved in </w:t>
      </w:r>
      <w:r w:rsidR="00C7126F">
        <w:t>international initiatives under the auspices of</w:t>
      </w:r>
      <w:r w:rsidR="00CB1C81">
        <w:t xml:space="preserve"> the OECD and WHO. </w:t>
      </w:r>
      <w:r w:rsidR="00BC0ACA">
        <w:t>The JRC is currently researching the use of alternative (non-animal) methods and new strategies for assessing the combination effects of chemicals</w:t>
      </w:r>
      <w:r w:rsidR="003A3E4C">
        <w:t xml:space="preserve">. They are also exploring the links between mixtures and disease, the interaction effects of chemicals, and the use of </w:t>
      </w:r>
      <w:r w:rsidR="00DE66DB">
        <w:t>biomonitoring data in exposure assessment</w:t>
      </w:r>
      <w:r w:rsidR="008325C3">
        <w:t>. The JRC currently collaborates with five EU funded research consortia focusing on chemicals mixtures:</w:t>
      </w:r>
    </w:p>
    <w:p w14:paraId="42EB8DF1" w14:textId="77777777" w:rsidR="008325C3" w:rsidRDefault="008325C3" w:rsidP="00384510">
      <w:pPr>
        <w:pStyle w:val="ListParagraph"/>
        <w:numPr>
          <w:ilvl w:val="0"/>
          <w:numId w:val="40"/>
        </w:numPr>
        <w:ind w:left="709"/>
      </w:pPr>
      <w:r>
        <w:t>In the environment – SOLUTIONS;</w:t>
      </w:r>
    </w:p>
    <w:p w14:paraId="798B6721" w14:textId="77777777" w:rsidR="008325C3" w:rsidRDefault="008325C3" w:rsidP="00384510">
      <w:pPr>
        <w:pStyle w:val="ListParagraph"/>
        <w:numPr>
          <w:ilvl w:val="0"/>
          <w:numId w:val="40"/>
        </w:numPr>
        <w:ind w:left="709"/>
      </w:pPr>
      <w:r>
        <w:t>For human health – EuroMix, HBM4EU;</w:t>
      </w:r>
    </w:p>
    <w:p w14:paraId="73FDD0E4" w14:textId="77777777" w:rsidR="00384510" w:rsidRDefault="004A489D" w:rsidP="00384510">
      <w:pPr>
        <w:pStyle w:val="ListParagraph"/>
        <w:numPr>
          <w:ilvl w:val="0"/>
          <w:numId w:val="40"/>
        </w:numPr>
        <w:ind w:left="709"/>
      </w:pPr>
      <w:r>
        <w:t>Endocrine disruption – EDC-MixRisk</w:t>
      </w:r>
      <w:r w:rsidR="00384510">
        <w:t xml:space="preserve">; and </w:t>
      </w:r>
    </w:p>
    <w:p w14:paraId="07A60474" w14:textId="0C81E228" w:rsidR="00384510" w:rsidRDefault="00384510" w:rsidP="00384510">
      <w:pPr>
        <w:pStyle w:val="ListParagraph"/>
        <w:numPr>
          <w:ilvl w:val="0"/>
          <w:numId w:val="40"/>
        </w:numPr>
        <w:ind w:left="709"/>
      </w:pPr>
      <w:r>
        <w:t xml:space="preserve">Alternatives for animal testing – </w:t>
      </w:r>
      <w:proofErr w:type="spellStart"/>
      <w:r>
        <w:t>EUToxRisk</w:t>
      </w:r>
      <w:proofErr w:type="spellEnd"/>
      <w:r>
        <w:t>.</w:t>
      </w:r>
      <w:r w:rsidR="00CB1C81">
        <w:fldChar w:fldCharType="begin" w:fldLock="1"/>
      </w:r>
      <w:r w:rsidR="00173639">
        <w:instrText>ADDIN CSL_CITATION {"citationItems":[{"id":"ITEM-1","itemData":{"author":[{"dropping-particle":"","family":"JRC","given":"","non-dropping-particle":"","parse-names":false,"suffix":""}],"id":"ITEM-1","issued":{"date-parts":[["2018"]]},"title":"JRC Science For Policy Brief: Science from nothing? Ensuring the safety of chemical mixtures","type":"report"},"uris":["http://www.mendeley.com/documents/?uuid=b62323b4-2886-472c-9469-55b75b2b2b50"]}],"mendeley":{"formattedCitation":"(JRC, 2018)","plainTextFormattedCitation":"(JRC, 2018)","previouslyFormattedCitation":"(JRC, 2018)"},"properties":{"noteIndex":0},"schema":"https://github.com/citation-style-language/schema/raw/master/csl-citation.json"}</w:instrText>
      </w:r>
      <w:r w:rsidR="00CB1C81">
        <w:fldChar w:fldCharType="separate"/>
      </w:r>
      <w:r w:rsidR="00CB1C81" w:rsidRPr="00CB1C81">
        <w:rPr>
          <w:noProof/>
        </w:rPr>
        <w:t>(JRC, 2018)</w:t>
      </w:r>
      <w:r w:rsidR="00CB1C81">
        <w:fldChar w:fldCharType="end"/>
      </w:r>
    </w:p>
    <w:p w14:paraId="5246BDFD" w14:textId="03926765" w:rsidR="00F30239" w:rsidRDefault="00F30239" w:rsidP="00B21E81">
      <w:pPr>
        <w:pStyle w:val="Heading3"/>
      </w:pPr>
      <w:r>
        <w:t>European Commission</w:t>
      </w:r>
    </w:p>
    <w:p w14:paraId="22953B8D" w14:textId="60712543" w:rsidR="00B21E81" w:rsidRDefault="00DA6285" w:rsidP="00DA6285">
      <w:r>
        <w:t xml:space="preserve">The European Commission </w:t>
      </w:r>
      <w:r w:rsidR="001420F9">
        <w:t xml:space="preserve">was invited by the European Council to “assess how and whether relevant existing Community legislation adequately addresses risks from exposure to multiple </w:t>
      </w:r>
      <w:r w:rsidR="00FF768F">
        <w:t>chemicals</w:t>
      </w:r>
      <w:r w:rsidR="001420F9">
        <w:t xml:space="preserve"> from different sources and pathways</w:t>
      </w:r>
      <w:r w:rsidR="0056172D">
        <w:t>, and on this basis  to consider approp</w:t>
      </w:r>
      <w:r w:rsidR="003A51B4">
        <w:t>riate modifications, guidelines and assessment methods and report back to the Council by early 2012 at the latest”.</w:t>
      </w:r>
    </w:p>
    <w:p w14:paraId="220F6C9A" w14:textId="77777777" w:rsidR="00E754F4" w:rsidRDefault="00495554" w:rsidP="00DA6285">
      <w:r>
        <w:t>T</w:t>
      </w:r>
      <w:r w:rsidR="00FF768F">
        <w:t>he</w:t>
      </w:r>
      <w:r w:rsidR="00317256">
        <w:t xml:space="preserve"> EU che</w:t>
      </w:r>
      <w:r w:rsidR="00956E51">
        <w:t xml:space="preserve">micals legislative framework </w:t>
      </w:r>
      <w:r>
        <w:t>aims</w:t>
      </w:r>
      <w:r w:rsidR="00D86B41">
        <w:t xml:space="preserve"> to</w:t>
      </w:r>
      <w:r w:rsidR="0058696E">
        <w:t xml:space="preserve"> ensure that, </w:t>
      </w:r>
      <w:r w:rsidR="00310A93">
        <w:t>although the general population is exposed to small concentrations of multiple chemicals</w:t>
      </w:r>
      <w:r w:rsidR="00F60643">
        <w:t xml:space="preserve">, none of those chemicals should be present </w:t>
      </w:r>
      <w:r>
        <w:t>above their individual safe limits.</w:t>
      </w:r>
      <w:r w:rsidR="00507C63">
        <w:t xml:space="preserve"> </w:t>
      </w:r>
      <w:r w:rsidR="008C6145">
        <w:t xml:space="preserve">It is </w:t>
      </w:r>
      <w:r w:rsidR="00571AC0">
        <w:t>suggested by the Commission that REAC</w:t>
      </w:r>
      <w:r w:rsidR="00E754F4">
        <w:t>H</w:t>
      </w:r>
      <w:r w:rsidR="00571AC0">
        <w:t xml:space="preserve"> could be used </w:t>
      </w:r>
      <w:r w:rsidR="00E754F4">
        <w:t xml:space="preserve">as a regulatory instrument </w:t>
      </w:r>
      <w:r w:rsidR="00571AC0">
        <w:t xml:space="preserve">to reduce some of </w:t>
      </w:r>
      <w:r w:rsidR="00612D34">
        <w:t>the uncertainties</w:t>
      </w:r>
      <w:r w:rsidR="00E754F4">
        <w:t xml:space="preserve"> around exposure to mixtures.</w:t>
      </w:r>
    </w:p>
    <w:p w14:paraId="6FAF7745" w14:textId="58B49044" w:rsidR="00FF768F" w:rsidRDefault="00612D34" w:rsidP="00DA6285">
      <w:r>
        <w:t xml:space="preserve"> </w:t>
      </w:r>
      <w:r w:rsidR="00374D0E">
        <w:t xml:space="preserve">Due to almost infinite number of possible combinations of chemicals, the Scientific </w:t>
      </w:r>
      <w:r w:rsidR="007A0A03">
        <w:t>Committees have identified a set of criteria for setting</w:t>
      </w:r>
      <w:r w:rsidR="0088296F">
        <w:t xml:space="preserve"> priorities:</w:t>
      </w:r>
    </w:p>
    <w:p w14:paraId="752A7CE2" w14:textId="1409D4FF" w:rsidR="0088296F" w:rsidRDefault="00173639" w:rsidP="0088296F">
      <w:pPr>
        <w:pStyle w:val="ListParagraph"/>
        <w:numPr>
          <w:ilvl w:val="0"/>
          <w:numId w:val="41"/>
        </w:numPr>
      </w:pPr>
      <w:r>
        <w:t>“</w:t>
      </w:r>
      <w:r w:rsidR="00DE7174">
        <w:t xml:space="preserve">Human and/or environmental </w:t>
      </w:r>
      <w:r w:rsidR="00223061">
        <w:t>exposure at significant levels.</w:t>
      </w:r>
    </w:p>
    <w:p w14:paraId="5B5B247E" w14:textId="0835FAAD" w:rsidR="00223061" w:rsidRDefault="00223061" w:rsidP="0088296F">
      <w:pPr>
        <w:pStyle w:val="ListParagraph"/>
        <w:numPr>
          <w:ilvl w:val="0"/>
          <w:numId w:val="41"/>
        </w:numPr>
      </w:pPr>
      <w:r>
        <w:t>Chemicals that are</w:t>
      </w:r>
      <w:r w:rsidR="00E71D10">
        <w:t xml:space="preserve"> produced and/or marketed</w:t>
      </w:r>
      <w:r w:rsidR="003D776D">
        <w:t xml:space="preserve"> </w:t>
      </w:r>
      <w:r w:rsidR="00B55D91">
        <w:t xml:space="preserve">as multi-constituent </w:t>
      </w:r>
      <w:r w:rsidR="009E115A">
        <w:t>substances or commercial mixtures with several components</w:t>
      </w:r>
      <w:r w:rsidR="00354066">
        <w:t xml:space="preserve"> and/or active ingredients and/or substances of concern.</w:t>
      </w:r>
    </w:p>
    <w:p w14:paraId="19DE8522" w14:textId="352235E4" w:rsidR="00354066" w:rsidRDefault="00354066" w:rsidP="0088296F">
      <w:pPr>
        <w:pStyle w:val="ListParagraph"/>
        <w:numPr>
          <w:ilvl w:val="0"/>
          <w:numId w:val="41"/>
        </w:numPr>
      </w:pPr>
      <w:r>
        <w:t>Potential serious adverse effects of one or more chemicals at the likely exposure levels.</w:t>
      </w:r>
    </w:p>
    <w:p w14:paraId="7C7A4E35" w14:textId="53E269AC" w:rsidR="008826DD" w:rsidRDefault="008826DD" w:rsidP="0088296F">
      <w:pPr>
        <w:pStyle w:val="ListParagraph"/>
        <w:numPr>
          <w:ilvl w:val="0"/>
          <w:numId w:val="41"/>
        </w:numPr>
      </w:pPr>
      <w:r>
        <w:t xml:space="preserve">Likelihood of frequent or </w:t>
      </w:r>
      <w:r w:rsidR="00715F5A">
        <w:t>large-scale</w:t>
      </w:r>
      <w:r>
        <w:t xml:space="preserve"> exposure of the human population or the environment.</w:t>
      </w:r>
    </w:p>
    <w:p w14:paraId="76737C12" w14:textId="7CE59299" w:rsidR="008826DD" w:rsidRDefault="008826DD" w:rsidP="0088296F">
      <w:pPr>
        <w:pStyle w:val="ListParagraph"/>
        <w:numPr>
          <w:ilvl w:val="0"/>
          <w:numId w:val="41"/>
        </w:numPr>
      </w:pPr>
      <w:r>
        <w:t>Persistence of chemicals in the body and/or in the environment.</w:t>
      </w:r>
    </w:p>
    <w:p w14:paraId="0E360520" w14:textId="2D8626E1" w:rsidR="008826DD" w:rsidRDefault="008826DD" w:rsidP="0088296F">
      <w:pPr>
        <w:pStyle w:val="ListParagraph"/>
        <w:numPr>
          <w:ilvl w:val="0"/>
          <w:numId w:val="41"/>
        </w:numPr>
      </w:pPr>
      <w:r>
        <w:t>Known information of potential interaction at levels of human and environmental exposure.</w:t>
      </w:r>
    </w:p>
    <w:p w14:paraId="0E8E60C8" w14:textId="58983F16" w:rsidR="008304DC" w:rsidRDefault="008304DC" w:rsidP="0088296F">
      <w:pPr>
        <w:pStyle w:val="ListParagraph"/>
        <w:numPr>
          <w:ilvl w:val="0"/>
          <w:numId w:val="41"/>
        </w:numPr>
      </w:pPr>
      <w:r>
        <w:t>Predictive information that chemicals act similarly.</w:t>
      </w:r>
    </w:p>
    <w:p w14:paraId="63B921EE" w14:textId="3F7435B2" w:rsidR="008304DC" w:rsidRDefault="00715F5A" w:rsidP="0088296F">
      <w:pPr>
        <w:pStyle w:val="ListParagraph"/>
        <w:numPr>
          <w:ilvl w:val="0"/>
          <w:numId w:val="41"/>
        </w:numPr>
      </w:pPr>
      <w:r>
        <w:t>Particular attention should be paid to mixtures for which one or more components are assumed to have no threshold for its effects.</w:t>
      </w:r>
      <w:r w:rsidR="00173639">
        <w:t xml:space="preserve">” </w:t>
      </w:r>
      <w:r w:rsidR="00173639">
        <w:fldChar w:fldCharType="begin" w:fldLock="1"/>
      </w:r>
      <w:r w:rsidR="00276C75">
        <w:instrText>ADDIN CSL_CITATION {"citationItems":[{"id":"ITEM-1","itemData":{"author":[{"dropping-particle":"","family":"European Commission","given":"","non-dropping-particle":"","parse-names":false,"suffix":""}],"id":"ITEM-1","issued":{"date-parts":[["2012"]]},"title":"Communication from the Commission to the Council: The combination effects of chemicals - Chemical Mixtures","type":"legal_case"},"uris":["http://www.mendeley.com/documents/?uuid=56ef3279-821c-466c-b942-1cef90b81bf9"]}],"mendeley":{"formattedCitation":"(European Commission, 2012)","plainTextFormattedCitation":"(European Commission, 2012)","previouslyFormattedCitation":"(European Commission, 2012)"},"properties":{"noteIndex":0},"schema":"https://github.com/citation-style-language/schema/raw/master/csl-citation.json"}</w:instrText>
      </w:r>
      <w:r w:rsidR="00173639">
        <w:fldChar w:fldCharType="separate"/>
      </w:r>
      <w:r w:rsidR="00173639" w:rsidRPr="00173639">
        <w:rPr>
          <w:noProof/>
        </w:rPr>
        <w:t>(European Commission, 2012)</w:t>
      </w:r>
      <w:r w:rsidR="00173639">
        <w:fldChar w:fldCharType="end"/>
      </w:r>
    </w:p>
    <w:p w14:paraId="24D6ABA6" w14:textId="55FF921E" w:rsidR="00D73CC2" w:rsidRDefault="00350346" w:rsidP="00D73CC2">
      <w:r>
        <w:t>A number of</w:t>
      </w:r>
      <w:r w:rsidR="00D73CC2">
        <w:t xml:space="preserve"> </w:t>
      </w:r>
      <w:r w:rsidR="0023368F">
        <w:t>actions</w:t>
      </w:r>
      <w:r>
        <w:t xml:space="preserve"> were</w:t>
      </w:r>
      <w:r w:rsidR="007A40FF">
        <w:t xml:space="preserve"> developed in</w:t>
      </w:r>
      <w:r w:rsidR="00D73CC2">
        <w:t xml:space="preserve"> the 2012 Commission communication to the Council on</w:t>
      </w:r>
      <w:r w:rsidR="001A3106">
        <w:t xml:space="preserve"> the combination effects of </w:t>
      </w:r>
      <w:r>
        <w:t>chemicals</w:t>
      </w:r>
      <w:r w:rsidR="00C37D44">
        <w:t>.</w:t>
      </w:r>
      <w:r w:rsidR="00186B32">
        <w:t xml:space="preserve"> In order to strengthen coordination across different pieces of legislation</w:t>
      </w:r>
      <w:r w:rsidR="00B26ECD">
        <w:t xml:space="preserve"> and to promote the integrated assessment of priority mixtures</w:t>
      </w:r>
      <w:r w:rsidR="007F4969">
        <w:t xml:space="preserve"> the Commission aimed to establish an ad hoc working group of relevant services and associated Agencies and Authori</w:t>
      </w:r>
      <w:r w:rsidR="005B0E8F">
        <w:t>ties</w:t>
      </w:r>
      <w:r w:rsidR="00A861B3">
        <w:t xml:space="preserve"> (EFSA, ECHA, EMEA, EEA)</w:t>
      </w:r>
      <w:r w:rsidR="00DE3735">
        <w:t xml:space="preserve">. This working group would bring together the data and </w:t>
      </w:r>
      <w:r w:rsidR="00D05495">
        <w:t>oversee</w:t>
      </w:r>
      <w:r w:rsidR="00A963B3">
        <w:t xml:space="preserve"> the integrated assessment of priority mixtures. </w:t>
      </w:r>
      <w:r w:rsidR="004D5254">
        <w:t xml:space="preserve">It was suggested that where follow up action is </w:t>
      </w:r>
      <w:r w:rsidR="00147D04">
        <w:t>required;</w:t>
      </w:r>
      <w:r w:rsidR="004D5254">
        <w:t xml:space="preserve"> it would be </w:t>
      </w:r>
      <w:r w:rsidR="00FE52D8">
        <w:t>carried out unde</w:t>
      </w:r>
      <w:r w:rsidR="002504A3">
        <w:t>r</w:t>
      </w:r>
      <w:r w:rsidR="00FE52D8">
        <w:t xml:space="preserve"> the frame of the</w:t>
      </w:r>
      <w:r w:rsidR="002504A3">
        <w:t xml:space="preserve"> relevant</w:t>
      </w:r>
      <w:r w:rsidR="00FE52D8">
        <w:t xml:space="preserve"> legislation</w:t>
      </w:r>
      <w:r w:rsidR="002504A3">
        <w:t>.</w:t>
      </w:r>
    </w:p>
    <w:p w14:paraId="0E7B052A" w14:textId="6A7C760C" w:rsidR="002504A3" w:rsidRDefault="0032291F" w:rsidP="00D73CC2">
      <w:r>
        <w:lastRenderedPageBreak/>
        <w:t xml:space="preserve">The Commission set themselves a deadline of June 2014 for the </w:t>
      </w:r>
      <w:r w:rsidR="00295A33">
        <w:t>creation of technical guidelines to promote a consistent approach</w:t>
      </w:r>
      <w:r w:rsidR="00084998">
        <w:t xml:space="preserve"> to the assessment of priority mixtur</w:t>
      </w:r>
      <w:r w:rsidR="00E34EE2">
        <w:t xml:space="preserve">es across the EU </w:t>
      </w:r>
      <w:r w:rsidR="00C70E2B">
        <w:t>chemicals</w:t>
      </w:r>
      <w:r w:rsidR="00E34EE2">
        <w:t xml:space="preserve"> legislative framework.</w:t>
      </w:r>
      <w:r w:rsidR="00420492">
        <w:t xml:space="preserve"> These guidelines were not intended to </w:t>
      </w:r>
      <w:r w:rsidR="005B65D7">
        <w:t>replace existing rules</w:t>
      </w:r>
      <w:r w:rsidR="00495519">
        <w:t xml:space="preserve"> or </w:t>
      </w:r>
      <w:r w:rsidR="0090445E">
        <w:t>impose additional obligations or burdens on economic operators.</w:t>
      </w:r>
    </w:p>
    <w:p w14:paraId="08E2C867" w14:textId="0296BC87" w:rsidR="002D525F" w:rsidRDefault="002D525F" w:rsidP="00D73CC2">
      <w:r>
        <w:t>In order to improve understanding of chemical mixtures, the Commission aimed to review monitoring data which is currently collected</w:t>
      </w:r>
      <w:r w:rsidR="00B90728">
        <w:t xml:space="preserve"> under EU legislation or generated by EU funded projects</w:t>
      </w:r>
      <w:r w:rsidR="00FD5E8D">
        <w:t xml:space="preserve">, and promote a more coherent approach to the generation, </w:t>
      </w:r>
      <w:r w:rsidR="00671523">
        <w:t>collection, storage and use of chemical monitoring data</w:t>
      </w:r>
      <w:r w:rsidR="00A32305">
        <w:t xml:space="preserve"> through the creation of a platform.</w:t>
      </w:r>
    </w:p>
    <w:p w14:paraId="6BCB2889" w14:textId="4390AEF7" w:rsidR="001F76D4" w:rsidRDefault="001F76D4" w:rsidP="00D73CC2">
      <w:r>
        <w:t>The Commission also a</w:t>
      </w:r>
      <w:r w:rsidR="00A86711">
        <w:t>i</w:t>
      </w:r>
      <w:r>
        <w:t xml:space="preserve">med to examine the opportunities for addressing the knowledge gaps related to: </w:t>
      </w:r>
      <w:r w:rsidR="005512BC">
        <w:t>modes of action; grouping of chemicals</w:t>
      </w:r>
      <w:r w:rsidR="00FF3F31">
        <w:t>; predicting chemical interactions</w:t>
      </w:r>
      <w:r w:rsidR="00A86711">
        <w:t>; and identifying chemical substances that are the main drivers of mixture toxicity.</w:t>
      </w:r>
      <w:r w:rsidR="00276C75">
        <w:fldChar w:fldCharType="begin" w:fldLock="1"/>
      </w:r>
      <w:r w:rsidR="00281100">
        <w:instrText>ADDIN CSL_CITATION {"citationItems":[{"id":"ITEM-1","itemData":{"author":[{"dropping-particle":"","family":"European Commission","given":"","non-dropping-particle":"","parse-names":false,"suffix":""}],"id":"ITEM-1","issued":{"date-parts":[["2012"]]},"title":"Communication from the Commission to the Council: The combination effects of chemicals - Chemical Mixtures","type":"legal_case"},"uris":["http://www.mendeley.com/documents/?uuid=56ef3279-821c-466c-b942-1cef90b81bf9"]}],"mendeley":{"formattedCitation":"(European Commission, 2012)","plainTextFormattedCitation":"(European Commission, 2012)","previouslyFormattedCitation":"(European Commission, 2012)"},"properties":{"noteIndex":0},"schema":"https://github.com/citation-style-language/schema/raw/master/csl-citation.json"}</w:instrText>
      </w:r>
      <w:r w:rsidR="00276C75">
        <w:fldChar w:fldCharType="separate"/>
      </w:r>
      <w:r w:rsidR="00276C75" w:rsidRPr="00276C75">
        <w:rPr>
          <w:noProof/>
        </w:rPr>
        <w:t>(European Commission, 2012)</w:t>
      </w:r>
      <w:r w:rsidR="00276C75">
        <w:fldChar w:fldCharType="end"/>
      </w:r>
    </w:p>
    <w:p w14:paraId="422C4167" w14:textId="18E4338A" w:rsidR="00653979" w:rsidRDefault="00653979" w:rsidP="00D73CC2">
      <w:r>
        <w:t>Table</w:t>
      </w:r>
      <w:r w:rsidR="003B7C94">
        <w:t>s</w:t>
      </w:r>
      <w:r>
        <w:t xml:space="preserve"> </w:t>
      </w:r>
      <w:r w:rsidR="002A7082">
        <w:t>1-</w:t>
      </w:r>
      <w:r w:rsidR="003B7C94">
        <w:t>1 and 1-</w:t>
      </w:r>
      <w:r w:rsidR="002A7082">
        <w:t>2 identif</w:t>
      </w:r>
      <w:r w:rsidR="003B7C94">
        <w:t>y</w:t>
      </w:r>
      <w:r w:rsidR="006C321A">
        <w:t xml:space="preserve"> the status of EU chemicals legislation with regard to the assessment of </w:t>
      </w:r>
      <w:r w:rsidR="00636FDC">
        <w:t>mixtures.</w:t>
      </w:r>
    </w:p>
    <w:p w14:paraId="42EEFB00" w14:textId="77777777" w:rsidR="000301CD" w:rsidRDefault="000301CD" w:rsidP="00D73CC2">
      <w:pPr>
        <w:sectPr w:rsidR="000301CD" w:rsidSect="006C0F35">
          <w:footerReference w:type="default" r:id="rId16"/>
          <w:pgSz w:w="11906" w:h="16838"/>
          <w:pgMar w:top="1418" w:right="1440" w:bottom="851" w:left="1440" w:header="709" w:footer="709" w:gutter="0"/>
          <w:pgNumType w:start="1"/>
          <w:cols w:space="708"/>
          <w:docGrid w:linePitch="360"/>
        </w:sectPr>
      </w:pPr>
    </w:p>
    <w:tbl>
      <w:tblPr>
        <w:tblW w:w="14884" w:type="dxa"/>
        <w:tblInd w:w="-5" w:type="dxa"/>
        <w:tblLayout w:type="fixed"/>
        <w:tblLook w:val="04A0" w:firstRow="1" w:lastRow="0" w:firstColumn="1" w:lastColumn="0" w:noHBand="0" w:noVBand="1"/>
      </w:tblPr>
      <w:tblGrid>
        <w:gridCol w:w="1701"/>
        <w:gridCol w:w="1418"/>
        <w:gridCol w:w="1276"/>
        <w:gridCol w:w="1559"/>
        <w:gridCol w:w="1559"/>
        <w:gridCol w:w="1559"/>
        <w:gridCol w:w="1560"/>
        <w:gridCol w:w="1559"/>
        <w:gridCol w:w="1276"/>
        <w:gridCol w:w="1417"/>
      </w:tblGrid>
      <w:tr w:rsidR="00E74D6E" w:rsidRPr="00263308" w14:paraId="043F19DF" w14:textId="77777777" w:rsidTr="00955D4D">
        <w:trPr>
          <w:trHeight w:val="300"/>
          <w:tblHeader/>
        </w:trPr>
        <w:tc>
          <w:tcPr>
            <w:tcW w:w="14884" w:type="dxa"/>
            <w:gridSpan w:val="10"/>
            <w:tcBorders>
              <w:top w:val="single" w:sz="4" w:space="0" w:color="auto"/>
              <w:left w:val="single" w:sz="4" w:space="0" w:color="auto"/>
              <w:bottom w:val="single" w:sz="4" w:space="0" w:color="auto"/>
              <w:right w:val="single" w:sz="4" w:space="0" w:color="auto"/>
            </w:tcBorders>
            <w:shd w:val="clear" w:color="auto" w:fill="003399"/>
            <w:vAlign w:val="center"/>
          </w:tcPr>
          <w:p w14:paraId="28B35E8D" w14:textId="192E904A" w:rsidR="00E74D6E" w:rsidRPr="00263308" w:rsidRDefault="00E74D6E" w:rsidP="00955D4D">
            <w:pPr>
              <w:spacing w:after="0"/>
              <w:rPr>
                <w:rFonts w:cstheme="minorHAnsi"/>
                <w:b/>
                <w:sz w:val="20"/>
                <w:szCs w:val="20"/>
              </w:rPr>
            </w:pPr>
            <w:r w:rsidRPr="00263308">
              <w:rPr>
                <w:rFonts w:cstheme="minorHAnsi"/>
                <w:b/>
                <w:sz w:val="20"/>
                <w:szCs w:val="20"/>
              </w:rPr>
              <w:lastRenderedPageBreak/>
              <w:t xml:space="preserve">Table </w:t>
            </w:r>
            <w:r w:rsidRPr="00263308">
              <w:rPr>
                <w:rFonts w:cstheme="minorHAnsi"/>
                <w:b/>
                <w:sz w:val="20"/>
                <w:szCs w:val="20"/>
              </w:rPr>
              <w:fldChar w:fldCharType="begin"/>
            </w:r>
            <w:r w:rsidRPr="00263308">
              <w:rPr>
                <w:rFonts w:cstheme="minorHAnsi"/>
                <w:b/>
                <w:sz w:val="20"/>
                <w:szCs w:val="20"/>
              </w:rPr>
              <w:instrText xml:space="preserve"> STYLEREF 1 \s </w:instrText>
            </w:r>
            <w:r w:rsidRPr="00263308">
              <w:rPr>
                <w:rFonts w:cstheme="minorHAnsi"/>
                <w:b/>
                <w:sz w:val="20"/>
                <w:szCs w:val="20"/>
              </w:rPr>
              <w:fldChar w:fldCharType="separate"/>
            </w:r>
            <w:r>
              <w:rPr>
                <w:rFonts w:cstheme="minorHAnsi"/>
                <w:b/>
                <w:noProof/>
                <w:sz w:val="20"/>
                <w:szCs w:val="20"/>
              </w:rPr>
              <w:t>1</w:t>
            </w:r>
            <w:r w:rsidRPr="00263308">
              <w:rPr>
                <w:rFonts w:cstheme="minorHAnsi"/>
                <w:sz w:val="20"/>
                <w:szCs w:val="20"/>
              </w:rPr>
              <w:fldChar w:fldCharType="end"/>
            </w:r>
            <w:r w:rsidRPr="00263308">
              <w:rPr>
                <w:rFonts w:cstheme="minorHAnsi"/>
                <w:b/>
                <w:sz w:val="20"/>
                <w:szCs w:val="20"/>
              </w:rPr>
              <w:noBreakHyphen/>
            </w:r>
            <w:r w:rsidRPr="00263308">
              <w:rPr>
                <w:rFonts w:cstheme="minorHAnsi"/>
                <w:b/>
                <w:sz w:val="20"/>
                <w:szCs w:val="20"/>
              </w:rPr>
              <w:fldChar w:fldCharType="begin"/>
            </w:r>
            <w:r w:rsidRPr="00263308">
              <w:rPr>
                <w:rFonts w:cstheme="minorHAnsi"/>
                <w:b/>
                <w:sz w:val="20"/>
                <w:szCs w:val="20"/>
              </w:rPr>
              <w:instrText xml:space="preserve"> SEQ Table \* ARABIC \s 1 </w:instrText>
            </w:r>
            <w:r w:rsidRPr="00263308">
              <w:rPr>
                <w:rFonts w:cstheme="minorHAnsi"/>
                <w:b/>
                <w:sz w:val="20"/>
                <w:szCs w:val="20"/>
              </w:rPr>
              <w:fldChar w:fldCharType="separate"/>
            </w:r>
            <w:r>
              <w:rPr>
                <w:rFonts w:cstheme="minorHAnsi"/>
                <w:b/>
                <w:noProof/>
                <w:sz w:val="20"/>
                <w:szCs w:val="20"/>
              </w:rPr>
              <w:t>1</w:t>
            </w:r>
            <w:r w:rsidRPr="00263308">
              <w:rPr>
                <w:rFonts w:cstheme="minorHAnsi"/>
                <w:sz w:val="20"/>
                <w:szCs w:val="20"/>
              </w:rPr>
              <w:fldChar w:fldCharType="end"/>
            </w:r>
            <w:r w:rsidRPr="00263308">
              <w:rPr>
                <w:rFonts w:cstheme="minorHAnsi"/>
                <w:bCs/>
                <w:sz w:val="20"/>
                <w:szCs w:val="20"/>
              </w:rPr>
              <w:t xml:space="preserve">: </w:t>
            </w:r>
            <w:r>
              <w:rPr>
                <w:rFonts w:cstheme="minorHAnsi"/>
                <w:b/>
                <w:bCs/>
                <w:sz w:val="20"/>
                <w:szCs w:val="20"/>
              </w:rPr>
              <w:t xml:space="preserve">Summary table – chemical and mixture </w:t>
            </w:r>
            <w:r w:rsidR="003B7C94">
              <w:rPr>
                <w:rFonts w:cstheme="minorHAnsi"/>
                <w:b/>
                <w:bCs/>
                <w:sz w:val="20"/>
                <w:szCs w:val="20"/>
              </w:rPr>
              <w:t>assessment</w:t>
            </w:r>
            <w:r>
              <w:rPr>
                <w:rFonts w:cstheme="minorHAnsi"/>
                <w:b/>
                <w:bCs/>
                <w:sz w:val="20"/>
                <w:szCs w:val="20"/>
              </w:rPr>
              <w:t xml:space="preserve"> requirements in European </w:t>
            </w:r>
            <w:r w:rsidR="003B7C94">
              <w:rPr>
                <w:rFonts w:cstheme="minorHAnsi"/>
                <w:b/>
                <w:bCs/>
                <w:sz w:val="20"/>
                <w:szCs w:val="20"/>
              </w:rPr>
              <w:t>legislation</w:t>
            </w:r>
            <w:r>
              <w:rPr>
                <w:rFonts w:cstheme="minorHAnsi"/>
                <w:b/>
                <w:bCs/>
                <w:sz w:val="20"/>
                <w:szCs w:val="20"/>
              </w:rPr>
              <w:t>. Intentional mixtures</w:t>
            </w:r>
          </w:p>
        </w:tc>
      </w:tr>
      <w:tr w:rsidR="00E74D6E" w:rsidRPr="00263308" w14:paraId="4C1862F9" w14:textId="77777777" w:rsidTr="00955D4D">
        <w:trPr>
          <w:trHeight w:val="300"/>
          <w:tblHeader/>
        </w:trPr>
        <w:tc>
          <w:tcPr>
            <w:tcW w:w="1701" w:type="dxa"/>
            <w:vMerge w:val="restart"/>
            <w:tcBorders>
              <w:top w:val="single" w:sz="4" w:space="0" w:color="auto"/>
              <w:left w:val="single" w:sz="4" w:space="0" w:color="auto"/>
              <w:right w:val="single" w:sz="4" w:space="0" w:color="auto"/>
            </w:tcBorders>
            <w:shd w:val="clear" w:color="auto" w:fill="003399"/>
            <w:vAlign w:val="center"/>
          </w:tcPr>
          <w:p w14:paraId="03D040E7" w14:textId="77777777" w:rsidR="00E74D6E" w:rsidRDefault="00E74D6E" w:rsidP="00955D4D">
            <w:pPr>
              <w:spacing w:after="0"/>
              <w:rPr>
                <w:rFonts w:cstheme="minorHAnsi"/>
                <w:b/>
                <w:sz w:val="20"/>
                <w:szCs w:val="20"/>
              </w:rPr>
            </w:pPr>
            <w:r>
              <w:rPr>
                <w:rFonts w:cstheme="minorHAnsi"/>
                <w:b/>
                <w:sz w:val="20"/>
                <w:szCs w:val="20"/>
              </w:rPr>
              <w:t>Legislative area</w:t>
            </w:r>
          </w:p>
        </w:tc>
        <w:tc>
          <w:tcPr>
            <w:tcW w:w="1418" w:type="dxa"/>
            <w:vMerge w:val="restart"/>
            <w:tcBorders>
              <w:top w:val="single" w:sz="4" w:space="0" w:color="auto"/>
              <w:left w:val="single" w:sz="4" w:space="0" w:color="auto"/>
              <w:right w:val="single" w:sz="4" w:space="0" w:color="auto"/>
            </w:tcBorders>
            <w:shd w:val="clear" w:color="auto" w:fill="003399"/>
            <w:vAlign w:val="center"/>
          </w:tcPr>
          <w:p w14:paraId="67569CEE" w14:textId="77777777" w:rsidR="00E74D6E" w:rsidRDefault="00E74D6E" w:rsidP="00955D4D">
            <w:pPr>
              <w:spacing w:after="0"/>
              <w:rPr>
                <w:rFonts w:cstheme="minorHAnsi"/>
                <w:b/>
                <w:sz w:val="20"/>
                <w:szCs w:val="20"/>
              </w:rPr>
            </w:pPr>
            <w:r>
              <w:rPr>
                <w:rFonts w:cstheme="minorHAnsi"/>
                <w:b/>
                <w:sz w:val="20"/>
                <w:szCs w:val="20"/>
              </w:rPr>
              <w:t xml:space="preserve">Act </w:t>
            </w:r>
          </w:p>
        </w:tc>
        <w:tc>
          <w:tcPr>
            <w:tcW w:w="1276" w:type="dxa"/>
            <w:vMerge w:val="restart"/>
            <w:tcBorders>
              <w:top w:val="single" w:sz="4" w:space="0" w:color="auto"/>
              <w:left w:val="single" w:sz="4" w:space="0" w:color="auto"/>
              <w:right w:val="single" w:sz="4" w:space="0" w:color="auto"/>
            </w:tcBorders>
            <w:shd w:val="clear" w:color="auto" w:fill="003399"/>
          </w:tcPr>
          <w:p w14:paraId="00CF4D74" w14:textId="77777777" w:rsidR="00E74D6E" w:rsidRDefault="00E74D6E" w:rsidP="00955D4D">
            <w:pPr>
              <w:spacing w:after="0"/>
              <w:rPr>
                <w:rFonts w:cstheme="minorHAnsi"/>
                <w:b/>
                <w:sz w:val="20"/>
                <w:szCs w:val="20"/>
              </w:rPr>
            </w:pPr>
            <w:r>
              <w:rPr>
                <w:rFonts w:cstheme="minorHAnsi"/>
                <w:b/>
                <w:sz w:val="20"/>
                <w:szCs w:val="20"/>
              </w:rPr>
              <w:t>Chemical monitoring and analysis</w:t>
            </w:r>
          </w:p>
        </w:tc>
        <w:tc>
          <w:tcPr>
            <w:tcW w:w="1559" w:type="dxa"/>
            <w:vMerge w:val="restart"/>
            <w:tcBorders>
              <w:top w:val="single" w:sz="4" w:space="0" w:color="auto"/>
              <w:left w:val="single" w:sz="4" w:space="0" w:color="auto"/>
              <w:right w:val="single" w:sz="4" w:space="0" w:color="auto"/>
            </w:tcBorders>
            <w:shd w:val="clear" w:color="auto" w:fill="003399"/>
          </w:tcPr>
          <w:p w14:paraId="2BDAF957" w14:textId="77777777" w:rsidR="00E74D6E" w:rsidRDefault="00E74D6E" w:rsidP="00955D4D">
            <w:pPr>
              <w:spacing w:after="0"/>
              <w:rPr>
                <w:rFonts w:cstheme="minorHAnsi"/>
                <w:b/>
                <w:sz w:val="20"/>
                <w:szCs w:val="20"/>
              </w:rPr>
            </w:pPr>
            <w:r>
              <w:rPr>
                <w:rFonts w:cstheme="minorHAnsi"/>
                <w:b/>
                <w:sz w:val="20"/>
                <w:szCs w:val="20"/>
              </w:rPr>
              <w:t>Encouraging alternative methods to animal testing</w:t>
            </w:r>
          </w:p>
        </w:tc>
        <w:tc>
          <w:tcPr>
            <w:tcW w:w="3118" w:type="dxa"/>
            <w:gridSpan w:val="2"/>
            <w:tcBorders>
              <w:top w:val="single" w:sz="4" w:space="0" w:color="auto"/>
              <w:left w:val="single" w:sz="4" w:space="0" w:color="auto"/>
              <w:bottom w:val="single" w:sz="4" w:space="0" w:color="auto"/>
              <w:right w:val="single" w:sz="4" w:space="0" w:color="auto"/>
            </w:tcBorders>
            <w:shd w:val="clear" w:color="auto" w:fill="003399"/>
          </w:tcPr>
          <w:p w14:paraId="0A9C39CE" w14:textId="77777777" w:rsidR="00E74D6E" w:rsidRPr="00263308" w:rsidRDefault="00E74D6E" w:rsidP="00955D4D">
            <w:pPr>
              <w:spacing w:after="0"/>
              <w:rPr>
                <w:rFonts w:cstheme="minorHAnsi"/>
                <w:b/>
                <w:sz w:val="20"/>
                <w:szCs w:val="20"/>
              </w:rPr>
            </w:pPr>
            <w:r>
              <w:rPr>
                <w:rFonts w:cstheme="minorHAnsi"/>
                <w:b/>
                <w:sz w:val="20"/>
                <w:szCs w:val="20"/>
              </w:rPr>
              <w:t>Chemical risk assessment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003399"/>
          </w:tcPr>
          <w:p w14:paraId="26623F7C" w14:textId="77777777" w:rsidR="00E74D6E" w:rsidRPr="00263308" w:rsidRDefault="00E74D6E" w:rsidP="00955D4D">
            <w:pPr>
              <w:spacing w:after="0"/>
              <w:rPr>
                <w:rFonts w:cstheme="minorHAnsi"/>
                <w:b/>
                <w:sz w:val="20"/>
                <w:szCs w:val="20"/>
              </w:rPr>
            </w:pPr>
            <w:r>
              <w:rPr>
                <w:rFonts w:cstheme="minorHAnsi"/>
                <w:b/>
                <w:sz w:val="20"/>
                <w:szCs w:val="20"/>
              </w:rPr>
              <w:t>Mixture assessment</w:t>
            </w:r>
          </w:p>
        </w:tc>
        <w:tc>
          <w:tcPr>
            <w:tcW w:w="1276" w:type="dxa"/>
            <w:vMerge w:val="restart"/>
            <w:tcBorders>
              <w:top w:val="single" w:sz="4" w:space="0" w:color="auto"/>
              <w:left w:val="single" w:sz="4" w:space="0" w:color="auto"/>
              <w:right w:val="single" w:sz="4" w:space="0" w:color="auto"/>
            </w:tcBorders>
            <w:shd w:val="clear" w:color="auto" w:fill="003399"/>
          </w:tcPr>
          <w:p w14:paraId="222A3740" w14:textId="77777777" w:rsidR="00E74D6E" w:rsidRPr="00263308" w:rsidRDefault="00E74D6E" w:rsidP="00955D4D">
            <w:pPr>
              <w:spacing w:after="0"/>
              <w:rPr>
                <w:rFonts w:cstheme="minorHAnsi"/>
                <w:b/>
                <w:sz w:val="20"/>
                <w:szCs w:val="20"/>
              </w:rPr>
            </w:pPr>
            <w:r>
              <w:rPr>
                <w:rFonts w:cstheme="minorHAnsi"/>
                <w:b/>
                <w:sz w:val="20"/>
                <w:szCs w:val="20"/>
              </w:rPr>
              <w:t>Prospective RA</w:t>
            </w:r>
          </w:p>
        </w:tc>
        <w:tc>
          <w:tcPr>
            <w:tcW w:w="1417" w:type="dxa"/>
            <w:vMerge w:val="restart"/>
            <w:tcBorders>
              <w:top w:val="single" w:sz="4" w:space="0" w:color="auto"/>
              <w:left w:val="single" w:sz="4" w:space="0" w:color="auto"/>
              <w:right w:val="single" w:sz="4" w:space="0" w:color="auto"/>
            </w:tcBorders>
            <w:shd w:val="clear" w:color="auto" w:fill="003399"/>
          </w:tcPr>
          <w:p w14:paraId="4896611D" w14:textId="77777777" w:rsidR="00E74D6E" w:rsidRPr="00263308" w:rsidRDefault="00E74D6E" w:rsidP="00955D4D">
            <w:pPr>
              <w:spacing w:after="0"/>
              <w:rPr>
                <w:rFonts w:cstheme="minorHAnsi"/>
                <w:b/>
                <w:sz w:val="20"/>
                <w:szCs w:val="20"/>
              </w:rPr>
            </w:pPr>
            <w:r>
              <w:rPr>
                <w:rFonts w:cstheme="minorHAnsi"/>
                <w:b/>
                <w:sz w:val="20"/>
                <w:szCs w:val="20"/>
              </w:rPr>
              <w:t>Retrospective RA</w:t>
            </w:r>
          </w:p>
        </w:tc>
      </w:tr>
      <w:tr w:rsidR="00E74D6E" w:rsidRPr="00263308" w14:paraId="1C39EDB8" w14:textId="77777777" w:rsidTr="00955D4D">
        <w:trPr>
          <w:trHeight w:val="300"/>
        </w:trPr>
        <w:tc>
          <w:tcPr>
            <w:tcW w:w="1701" w:type="dxa"/>
            <w:vMerge/>
            <w:tcBorders>
              <w:left w:val="single" w:sz="4" w:space="0" w:color="auto"/>
              <w:bottom w:val="single" w:sz="4" w:space="0" w:color="auto"/>
              <w:right w:val="single" w:sz="4" w:space="0" w:color="auto"/>
            </w:tcBorders>
            <w:shd w:val="clear" w:color="auto" w:fill="003399"/>
            <w:vAlign w:val="center"/>
          </w:tcPr>
          <w:p w14:paraId="5E99CCE9" w14:textId="77777777" w:rsidR="00E74D6E" w:rsidRPr="00263308" w:rsidRDefault="00E74D6E" w:rsidP="00955D4D">
            <w:pPr>
              <w:spacing w:after="0"/>
              <w:rPr>
                <w:rFonts w:cstheme="minorHAnsi"/>
                <w:b/>
                <w:sz w:val="20"/>
                <w:szCs w:val="20"/>
              </w:rPr>
            </w:pPr>
          </w:p>
        </w:tc>
        <w:tc>
          <w:tcPr>
            <w:tcW w:w="1418" w:type="dxa"/>
            <w:vMerge/>
            <w:tcBorders>
              <w:left w:val="single" w:sz="4" w:space="0" w:color="auto"/>
              <w:bottom w:val="single" w:sz="4" w:space="0" w:color="auto"/>
              <w:right w:val="single" w:sz="4" w:space="0" w:color="auto"/>
            </w:tcBorders>
            <w:shd w:val="clear" w:color="auto" w:fill="003399"/>
            <w:vAlign w:val="center"/>
          </w:tcPr>
          <w:p w14:paraId="4D56FA69" w14:textId="77777777" w:rsidR="00E74D6E" w:rsidRPr="00263308" w:rsidRDefault="00E74D6E" w:rsidP="00955D4D">
            <w:pPr>
              <w:spacing w:after="0"/>
              <w:rPr>
                <w:rFonts w:cstheme="minorHAnsi"/>
                <w:b/>
                <w:sz w:val="20"/>
                <w:szCs w:val="20"/>
              </w:rPr>
            </w:pPr>
          </w:p>
        </w:tc>
        <w:tc>
          <w:tcPr>
            <w:tcW w:w="1276" w:type="dxa"/>
            <w:vMerge/>
            <w:tcBorders>
              <w:left w:val="single" w:sz="4" w:space="0" w:color="auto"/>
              <w:bottom w:val="single" w:sz="4" w:space="0" w:color="auto"/>
              <w:right w:val="single" w:sz="4" w:space="0" w:color="auto"/>
            </w:tcBorders>
            <w:shd w:val="clear" w:color="auto" w:fill="003399"/>
          </w:tcPr>
          <w:p w14:paraId="1CD159F9" w14:textId="77777777" w:rsidR="00E74D6E" w:rsidRPr="00263308" w:rsidRDefault="00E74D6E" w:rsidP="00955D4D">
            <w:pPr>
              <w:spacing w:after="0"/>
              <w:rPr>
                <w:rFonts w:cstheme="minorHAnsi"/>
                <w:b/>
                <w:sz w:val="20"/>
                <w:szCs w:val="20"/>
              </w:rPr>
            </w:pPr>
          </w:p>
        </w:tc>
        <w:tc>
          <w:tcPr>
            <w:tcW w:w="1559" w:type="dxa"/>
            <w:vMerge/>
            <w:tcBorders>
              <w:left w:val="single" w:sz="4" w:space="0" w:color="auto"/>
              <w:bottom w:val="single" w:sz="4" w:space="0" w:color="auto"/>
              <w:right w:val="single" w:sz="4" w:space="0" w:color="auto"/>
            </w:tcBorders>
            <w:shd w:val="clear" w:color="auto" w:fill="003399"/>
          </w:tcPr>
          <w:p w14:paraId="26757868" w14:textId="77777777" w:rsidR="00E74D6E" w:rsidRPr="00263308" w:rsidRDefault="00E74D6E" w:rsidP="00955D4D">
            <w:pPr>
              <w:spacing w:after="0"/>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003399"/>
          </w:tcPr>
          <w:p w14:paraId="0398E42F" w14:textId="77777777" w:rsidR="00E74D6E" w:rsidRPr="00263308" w:rsidRDefault="00E74D6E" w:rsidP="00955D4D">
            <w:pPr>
              <w:spacing w:after="0"/>
              <w:rPr>
                <w:rFonts w:cstheme="minorHAnsi"/>
                <w:b/>
                <w:sz w:val="20"/>
                <w:szCs w:val="20"/>
              </w:rPr>
            </w:pPr>
            <w:r>
              <w:rPr>
                <w:rFonts w:cstheme="minorHAnsi"/>
                <w:b/>
                <w:sz w:val="20"/>
                <w:szCs w:val="20"/>
              </w:rPr>
              <w:t>Human health</w:t>
            </w:r>
          </w:p>
        </w:tc>
        <w:tc>
          <w:tcPr>
            <w:tcW w:w="1559" w:type="dxa"/>
            <w:tcBorders>
              <w:top w:val="single" w:sz="4" w:space="0" w:color="auto"/>
              <w:left w:val="single" w:sz="4" w:space="0" w:color="auto"/>
              <w:bottom w:val="single" w:sz="4" w:space="0" w:color="auto"/>
              <w:right w:val="single" w:sz="4" w:space="0" w:color="auto"/>
            </w:tcBorders>
            <w:shd w:val="clear" w:color="auto" w:fill="003399"/>
          </w:tcPr>
          <w:p w14:paraId="1B768D9B" w14:textId="77777777" w:rsidR="00E74D6E" w:rsidRPr="00263308" w:rsidRDefault="00E74D6E" w:rsidP="00955D4D">
            <w:pPr>
              <w:spacing w:after="0"/>
              <w:rPr>
                <w:rFonts w:cstheme="minorHAnsi"/>
                <w:b/>
                <w:sz w:val="20"/>
                <w:szCs w:val="20"/>
              </w:rPr>
            </w:pPr>
            <w:r>
              <w:rPr>
                <w:rFonts w:cstheme="minorHAnsi"/>
                <w:b/>
                <w:sz w:val="20"/>
                <w:szCs w:val="20"/>
              </w:rPr>
              <w:t>Environmental health</w:t>
            </w:r>
          </w:p>
        </w:tc>
        <w:tc>
          <w:tcPr>
            <w:tcW w:w="1560" w:type="dxa"/>
            <w:tcBorders>
              <w:top w:val="single" w:sz="4" w:space="0" w:color="auto"/>
              <w:left w:val="single" w:sz="4" w:space="0" w:color="auto"/>
              <w:bottom w:val="single" w:sz="4" w:space="0" w:color="auto"/>
              <w:right w:val="single" w:sz="4" w:space="0" w:color="auto"/>
            </w:tcBorders>
            <w:shd w:val="clear" w:color="auto" w:fill="003399"/>
          </w:tcPr>
          <w:p w14:paraId="2E23456E" w14:textId="77777777" w:rsidR="00E74D6E" w:rsidRPr="00263308" w:rsidRDefault="00E74D6E" w:rsidP="00955D4D">
            <w:pPr>
              <w:spacing w:after="0"/>
              <w:rPr>
                <w:rFonts w:cstheme="minorHAnsi"/>
                <w:b/>
                <w:sz w:val="20"/>
                <w:szCs w:val="20"/>
              </w:rPr>
            </w:pPr>
            <w:r>
              <w:rPr>
                <w:rFonts w:cstheme="minorHAnsi"/>
                <w:b/>
                <w:sz w:val="20"/>
                <w:szCs w:val="20"/>
              </w:rPr>
              <w:t>Human health</w:t>
            </w:r>
          </w:p>
        </w:tc>
        <w:tc>
          <w:tcPr>
            <w:tcW w:w="1559" w:type="dxa"/>
            <w:tcBorders>
              <w:top w:val="single" w:sz="4" w:space="0" w:color="auto"/>
              <w:left w:val="single" w:sz="4" w:space="0" w:color="auto"/>
              <w:bottom w:val="single" w:sz="4" w:space="0" w:color="auto"/>
              <w:right w:val="single" w:sz="4" w:space="0" w:color="auto"/>
            </w:tcBorders>
            <w:shd w:val="clear" w:color="auto" w:fill="003399"/>
          </w:tcPr>
          <w:p w14:paraId="1A2B69CD" w14:textId="77777777" w:rsidR="00E74D6E" w:rsidRPr="00263308" w:rsidRDefault="00E74D6E" w:rsidP="00955D4D">
            <w:pPr>
              <w:spacing w:after="0"/>
              <w:rPr>
                <w:rFonts w:cstheme="minorHAnsi"/>
                <w:b/>
                <w:sz w:val="20"/>
                <w:szCs w:val="20"/>
              </w:rPr>
            </w:pPr>
            <w:r>
              <w:rPr>
                <w:rFonts w:cstheme="minorHAnsi"/>
                <w:b/>
                <w:sz w:val="20"/>
                <w:szCs w:val="20"/>
              </w:rPr>
              <w:t>Environmental health</w:t>
            </w:r>
          </w:p>
        </w:tc>
        <w:tc>
          <w:tcPr>
            <w:tcW w:w="1276" w:type="dxa"/>
            <w:vMerge/>
            <w:tcBorders>
              <w:left w:val="single" w:sz="4" w:space="0" w:color="auto"/>
              <w:bottom w:val="single" w:sz="4" w:space="0" w:color="auto"/>
              <w:right w:val="single" w:sz="4" w:space="0" w:color="auto"/>
            </w:tcBorders>
            <w:shd w:val="clear" w:color="auto" w:fill="003399"/>
          </w:tcPr>
          <w:p w14:paraId="0E8692FA" w14:textId="77777777" w:rsidR="00E74D6E" w:rsidRPr="00263308" w:rsidRDefault="00E74D6E" w:rsidP="00955D4D">
            <w:pPr>
              <w:spacing w:after="0"/>
              <w:rPr>
                <w:rFonts w:cstheme="minorHAnsi"/>
                <w:b/>
                <w:sz w:val="20"/>
                <w:szCs w:val="20"/>
              </w:rPr>
            </w:pPr>
          </w:p>
        </w:tc>
        <w:tc>
          <w:tcPr>
            <w:tcW w:w="1417" w:type="dxa"/>
            <w:vMerge/>
            <w:tcBorders>
              <w:left w:val="single" w:sz="4" w:space="0" w:color="auto"/>
              <w:bottom w:val="single" w:sz="4" w:space="0" w:color="auto"/>
              <w:right w:val="single" w:sz="4" w:space="0" w:color="auto"/>
            </w:tcBorders>
            <w:shd w:val="clear" w:color="auto" w:fill="003399"/>
          </w:tcPr>
          <w:p w14:paraId="5BC12875" w14:textId="77777777" w:rsidR="00E74D6E" w:rsidRPr="00263308" w:rsidRDefault="00E74D6E" w:rsidP="00955D4D">
            <w:pPr>
              <w:spacing w:after="0"/>
              <w:rPr>
                <w:rFonts w:cstheme="minorHAnsi"/>
                <w:b/>
                <w:sz w:val="20"/>
                <w:szCs w:val="20"/>
              </w:rPr>
            </w:pPr>
          </w:p>
        </w:tc>
      </w:tr>
      <w:tr w:rsidR="00E74D6E" w:rsidRPr="00263308" w14:paraId="010875DF"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615DD1" w14:textId="77777777" w:rsidR="00E74D6E" w:rsidRPr="00A53847" w:rsidRDefault="00E74D6E" w:rsidP="00955D4D">
            <w:pPr>
              <w:spacing w:after="0"/>
              <w:rPr>
                <w:rFonts w:cstheme="minorHAnsi"/>
                <w:bCs/>
                <w:sz w:val="20"/>
                <w:szCs w:val="20"/>
              </w:rPr>
            </w:pPr>
            <w:r w:rsidRPr="00A53847">
              <w:rPr>
                <w:rFonts w:cstheme="minorHAnsi"/>
                <w:bCs/>
                <w:sz w:val="20"/>
                <w:szCs w:val="20"/>
              </w:rPr>
              <w:t>Plant protection products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9210C" w14:textId="77777777" w:rsidR="00E74D6E" w:rsidRPr="00A53847" w:rsidRDefault="00E74D6E" w:rsidP="00955D4D">
            <w:pPr>
              <w:spacing w:after="0"/>
              <w:rPr>
                <w:rFonts w:cstheme="minorHAnsi"/>
                <w:bCs/>
                <w:sz w:val="20"/>
                <w:szCs w:val="20"/>
              </w:rPr>
            </w:pPr>
            <w:r w:rsidRPr="00A53847">
              <w:rPr>
                <w:rFonts w:cstheme="minorHAnsi"/>
                <w:bCs/>
                <w:sz w:val="20"/>
                <w:szCs w:val="20"/>
              </w:rPr>
              <w:t>Reg 1007/2009</w:t>
            </w:r>
          </w:p>
        </w:tc>
        <w:tc>
          <w:tcPr>
            <w:tcW w:w="1276" w:type="dxa"/>
            <w:vMerge w:val="restart"/>
            <w:tcBorders>
              <w:top w:val="single" w:sz="4" w:space="0" w:color="auto"/>
              <w:left w:val="single" w:sz="4" w:space="0" w:color="auto"/>
              <w:right w:val="single" w:sz="4" w:space="0" w:color="auto"/>
            </w:tcBorders>
            <w:vAlign w:val="center"/>
          </w:tcPr>
          <w:p w14:paraId="7D55A897" w14:textId="77777777" w:rsidR="00E74D6E" w:rsidRPr="00A53847" w:rsidRDefault="00E74D6E" w:rsidP="00955D4D">
            <w:pPr>
              <w:spacing w:after="0"/>
              <w:jc w:val="center"/>
              <w:rPr>
                <w:rFonts w:cstheme="minorHAnsi"/>
                <w:bCs/>
                <w:sz w:val="20"/>
                <w:szCs w:val="20"/>
              </w:rPr>
            </w:pPr>
            <w:r>
              <w:rPr>
                <w:rFonts w:cstheme="minorHAnsi"/>
                <w:bCs/>
                <w:sz w:val="20"/>
                <w:szCs w:val="20"/>
              </w:rPr>
              <w:t>No (Environment)/ Yes (Residues)</w:t>
            </w:r>
          </w:p>
        </w:tc>
        <w:tc>
          <w:tcPr>
            <w:tcW w:w="1559" w:type="dxa"/>
            <w:vMerge w:val="restart"/>
            <w:tcBorders>
              <w:top w:val="single" w:sz="4" w:space="0" w:color="auto"/>
              <w:left w:val="single" w:sz="4" w:space="0" w:color="auto"/>
              <w:right w:val="single" w:sz="4" w:space="0" w:color="auto"/>
            </w:tcBorders>
            <w:vAlign w:val="center"/>
          </w:tcPr>
          <w:p w14:paraId="5A31A3E3"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vMerge w:val="restart"/>
            <w:tcBorders>
              <w:top w:val="single" w:sz="4" w:space="0" w:color="auto"/>
              <w:left w:val="single" w:sz="4" w:space="0" w:color="auto"/>
              <w:right w:val="single" w:sz="4" w:space="0" w:color="auto"/>
            </w:tcBorders>
            <w:vAlign w:val="center"/>
          </w:tcPr>
          <w:p w14:paraId="3D691F32"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vMerge w:val="restart"/>
            <w:tcBorders>
              <w:top w:val="single" w:sz="4" w:space="0" w:color="auto"/>
              <w:left w:val="single" w:sz="4" w:space="0" w:color="auto"/>
              <w:right w:val="single" w:sz="4" w:space="0" w:color="auto"/>
            </w:tcBorders>
            <w:vAlign w:val="center"/>
          </w:tcPr>
          <w:p w14:paraId="04DE91F1"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3119" w:type="dxa"/>
            <w:gridSpan w:val="2"/>
            <w:vMerge w:val="restart"/>
            <w:tcBorders>
              <w:top w:val="single" w:sz="4" w:space="0" w:color="auto"/>
              <w:left w:val="single" w:sz="4" w:space="0" w:color="auto"/>
              <w:right w:val="single" w:sz="4" w:space="0" w:color="auto"/>
            </w:tcBorders>
            <w:vAlign w:val="center"/>
          </w:tcPr>
          <w:p w14:paraId="699176AE" w14:textId="77777777" w:rsidR="00E74D6E" w:rsidRPr="00A53847" w:rsidRDefault="00E74D6E" w:rsidP="00955D4D">
            <w:pPr>
              <w:spacing w:after="0"/>
              <w:jc w:val="center"/>
              <w:rPr>
                <w:rFonts w:cstheme="minorHAnsi"/>
                <w:bCs/>
                <w:sz w:val="20"/>
                <w:szCs w:val="20"/>
              </w:rPr>
            </w:pPr>
            <w:r>
              <w:rPr>
                <w:rFonts w:cstheme="minorHAnsi"/>
                <w:bCs/>
                <w:sz w:val="20"/>
                <w:szCs w:val="20"/>
              </w:rPr>
              <w:t>Yes – WM approach (for formulation)</w:t>
            </w:r>
          </w:p>
        </w:tc>
        <w:tc>
          <w:tcPr>
            <w:tcW w:w="1276" w:type="dxa"/>
            <w:vMerge w:val="restart"/>
            <w:tcBorders>
              <w:top w:val="single" w:sz="4" w:space="0" w:color="auto"/>
              <w:left w:val="single" w:sz="4" w:space="0" w:color="auto"/>
              <w:right w:val="single" w:sz="4" w:space="0" w:color="auto"/>
            </w:tcBorders>
            <w:vAlign w:val="center"/>
          </w:tcPr>
          <w:p w14:paraId="0C82F0E4"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417" w:type="dxa"/>
            <w:vMerge w:val="restart"/>
            <w:tcBorders>
              <w:top w:val="single" w:sz="4" w:space="0" w:color="auto"/>
              <w:left w:val="single" w:sz="4" w:space="0" w:color="auto"/>
              <w:right w:val="single" w:sz="4" w:space="0" w:color="auto"/>
            </w:tcBorders>
            <w:vAlign w:val="center"/>
          </w:tcPr>
          <w:p w14:paraId="16602216"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r>
      <w:tr w:rsidR="00E74D6E" w:rsidRPr="00263308" w14:paraId="02A0039F"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9E9140" w14:textId="77777777" w:rsidR="00E74D6E" w:rsidRPr="00A53847" w:rsidRDefault="00E74D6E" w:rsidP="00955D4D">
            <w:pPr>
              <w:spacing w:after="0"/>
              <w:rPr>
                <w:rFonts w:cstheme="minorHAnsi"/>
                <w:bCs/>
                <w:sz w:val="20"/>
                <w:szCs w:val="20"/>
              </w:rPr>
            </w:pPr>
            <w:r w:rsidRPr="00A53847">
              <w:rPr>
                <w:rFonts w:cstheme="minorHAnsi"/>
                <w:bCs/>
                <w:sz w:val="20"/>
                <w:szCs w:val="20"/>
              </w:rPr>
              <w:t xml:space="preserve">PPP – AI Requirement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3728A8" w14:textId="77777777" w:rsidR="00E74D6E" w:rsidRPr="00A53847" w:rsidRDefault="00E74D6E" w:rsidP="00955D4D">
            <w:pPr>
              <w:spacing w:after="0"/>
              <w:rPr>
                <w:rFonts w:cstheme="minorHAnsi"/>
                <w:bCs/>
                <w:sz w:val="20"/>
                <w:szCs w:val="20"/>
              </w:rPr>
            </w:pPr>
            <w:r w:rsidRPr="00A53847">
              <w:rPr>
                <w:rFonts w:cstheme="minorHAnsi"/>
                <w:bCs/>
                <w:sz w:val="20"/>
                <w:szCs w:val="20"/>
              </w:rPr>
              <w:t>Reg 283/2013</w:t>
            </w:r>
          </w:p>
        </w:tc>
        <w:tc>
          <w:tcPr>
            <w:tcW w:w="1276" w:type="dxa"/>
            <w:vMerge/>
            <w:tcBorders>
              <w:left w:val="single" w:sz="4" w:space="0" w:color="auto"/>
              <w:right w:val="single" w:sz="4" w:space="0" w:color="auto"/>
            </w:tcBorders>
            <w:vAlign w:val="center"/>
          </w:tcPr>
          <w:p w14:paraId="211F8342" w14:textId="77777777" w:rsidR="00E74D6E" w:rsidRPr="00A53847" w:rsidRDefault="00E74D6E" w:rsidP="00955D4D">
            <w:pPr>
              <w:spacing w:after="0"/>
              <w:jc w:val="center"/>
              <w:rPr>
                <w:rFonts w:cstheme="minorHAnsi"/>
                <w:bCs/>
                <w:sz w:val="20"/>
                <w:szCs w:val="20"/>
              </w:rPr>
            </w:pPr>
          </w:p>
        </w:tc>
        <w:tc>
          <w:tcPr>
            <w:tcW w:w="1559" w:type="dxa"/>
            <w:vMerge/>
            <w:tcBorders>
              <w:left w:val="single" w:sz="4" w:space="0" w:color="auto"/>
              <w:right w:val="single" w:sz="4" w:space="0" w:color="auto"/>
            </w:tcBorders>
            <w:vAlign w:val="center"/>
          </w:tcPr>
          <w:p w14:paraId="50FB46BA" w14:textId="77777777" w:rsidR="00E74D6E" w:rsidRPr="00A53847" w:rsidRDefault="00E74D6E" w:rsidP="00955D4D">
            <w:pPr>
              <w:spacing w:after="0"/>
              <w:jc w:val="center"/>
              <w:rPr>
                <w:rFonts w:cstheme="minorHAnsi"/>
                <w:bCs/>
                <w:sz w:val="20"/>
                <w:szCs w:val="20"/>
              </w:rPr>
            </w:pPr>
          </w:p>
        </w:tc>
        <w:tc>
          <w:tcPr>
            <w:tcW w:w="1559" w:type="dxa"/>
            <w:vMerge/>
            <w:tcBorders>
              <w:left w:val="single" w:sz="4" w:space="0" w:color="auto"/>
              <w:right w:val="single" w:sz="4" w:space="0" w:color="auto"/>
            </w:tcBorders>
            <w:vAlign w:val="center"/>
          </w:tcPr>
          <w:p w14:paraId="52D53FE9" w14:textId="77777777" w:rsidR="00E74D6E" w:rsidRPr="00A53847" w:rsidRDefault="00E74D6E" w:rsidP="00955D4D">
            <w:pPr>
              <w:spacing w:after="0"/>
              <w:jc w:val="center"/>
              <w:rPr>
                <w:rFonts w:cstheme="minorHAnsi"/>
                <w:bCs/>
                <w:sz w:val="20"/>
                <w:szCs w:val="20"/>
              </w:rPr>
            </w:pPr>
          </w:p>
        </w:tc>
        <w:tc>
          <w:tcPr>
            <w:tcW w:w="1559" w:type="dxa"/>
            <w:vMerge/>
            <w:tcBorders>
              <w:left w:val="single" w:sz="4" w:space="0" w:color="auto"/>
              <w:right w:val="single" w:sz="4" w:space="0" w:color="auto"/>
            </w:tcBorders>
            <w:vAlign w:val="center"/>
          </w:tcPr>
          <w:p w14:paraId="5A01AE87" w14:textId="77777777" w:rsidR="00E74D6E" w:rsidRPr="00A53847" w:rsidRDefault="00E74D6E" w:rsidP="00955D4D">
            <w:pPr>
              <w:spacing w:after="0"/>
              <w:jc w:val="center"/>
              <w:rPr>
                <w:rFonts w:cstheme="minorHAnsi"/>
                <w:bCs/>
                <w:sz w:val="20"/>
                <w:szCs w:val="20"/>
              </w:rPr>
            </w:pPr>
          </w:p>
        </w:tc>
        <w:tc>
          <w:tcPr>
            <w:tcW w:w="3119" w:type="dxa"/>
            <w:gridSpan w:val="2"/>
            <w:vMerge/>
            <w:tcBorders>
              <w:left w:val="single" w:sz="4" w:space="0" w:color="auto"/>
              <w:right w:val="single" w:sz="4" w:space="0" w:color="auto"/>
            </w:tcBorders>
            <w:vAlign w:val="center"/>
          </w:tcPr>
          <w:p w14:paraId="0D914591" w14:textId="77777777" w:rsidR="00E74D6E" w:rsidRPr="00A53847" w:rsidRDefault="00E74D6E" w:rsidP="00955D4D">
            <w:pPr>
              <w:spacing w:after="0"/>
              <w:jc w:val="center"/>
              <w:rPr>
                <w:rFonts w:cstheme="minorHAnsi"/>
                <w:bCs/>
                <w:sz w:val="20"/>
                <w:szCs w:val="20"/>
              </w:rPr>
            </w:pPr>
          </w:p>
        </w:tc>
        <w:tc>
          <w:tcPr>
            <w:tcW w:w="1276" w:type="dxa"/>
            <w:vMerge/>
            <w:tcBorders>
              <w:left w:val="single" w:sz="4" w:space="0" w:color="auto"/>
              <w:right w:val="single" w:sz="4" w:space="0" w:color="auto"/>
            </w:tcBorders>
            <w:vAlign w:val="center"/>
          </w:tcPr>
          <w:p w14:paraId="19267AF5" w14:textId="77777777" w:rsidR="00E74D6E" w:rsidRPr="00A53847" w:rsidRDefault="00E74D6E" w:rsidP="00955D4D">
            <w:pPr>
              <w:spacing w:after="0"/>
              <w:jc w:val="center"/>
              <w:rPr>
                <w:rFonts w:cstheme="minorHAnsi"/>
                <w:bCs/>
                <w:sz w:val="20"/>
                <w:szCs w:val="20"/>
              </w:rPr>
            </w:pPr>
          </w:p>
        </w:tc>
        <w:tc>
          <w:tcPr>
            <w:tcW w:w="1417" w:type="dxa"/>
            <w:vMerge/>
            <w:tcBorders>
              <w:left w:val="single" w:sz="4" w:space="0" w:color="auto"/>
              <w:right w:val="single" w:sz="4" w:space="0" w:color="auto"/>
            </w:tcBorders>
            <w:vAlign w:val="center"/>
          </w:tcPr>
          <w:p w14:paraId="7447D414" w14:textId="77777777" w:rsidR="00E74D6E" w:rsidRPr="00A53847" w:rsidRDefault="00E74D6E" w:rsidP="00955D4D">
            <w:pPr>
              <w:spacing w:after="0"/>
              <w:jc w:val="center"/>
              <w:rPr>
                <w:rFonts w:cstheme="minorHAnsi"/>
                <w:bCs/>
                <w:sz w:val="20"/>
                <w:szCs w:val="20"/>
              </w:rPr>
            </w:pPr>
          </w:p>
        </w:tc>
      </w:tr>
      <w:tr w:rsidR="00E74D6E" w:rsidRPr="00263308" w14:paraId="242ACD24"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B7A415" w14:textId="77777777" w:rsidR="00E74D6E" w:rsidRPr="00A53847" w:rsidRDefault="00E74D6E" w:rsidP="00955D4D">
            <w:pPr>
              <w:spacing w:after="0"/>
              <w:rPr>
                <w:rFonts w:cstheme="minorHAnsi"/>
                <w:bCs/>
                <w:sz w:val="20"/>
                <w:szCs w:val="20"/>
              </w:rPr>
            </w:pPr>
            <w:r w:rsidRPr="00A53847">
              <w:rPr>
                <w:rFonts w:cstheme="minorHAnsi"/>
                <w:bCs/>
                <w:sz w:val="20"/>
                <w:szCs w:val="20"/>
              </w:rPr>
              <w:t>PPP – Formulation Requirement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1E91BF" w14:textId="77777777" w:rsidR="00E74D6E" w:rsidRPr="00A53847" w:rsidRDefault="00E74D6E" w:rsidP="00955D4D">
            <w:pPr>
              <w:spacing w:after="0"/>
              <w:rPr>
                <w:rFonts w:cstheme="minorHAnsi"/>
                <w:bCs/>
                <w:sz w:val="20"/>
                <w:szCs w:val="20"/>
              </w:rPr>
            </w:pPr>
            <w:r w:rsidRPr="00A53847">
              <w:rPr>
                <w:rFonts w:cstheme="minorHAnsi"/>
                <w:bCs/>
                <w:sz w:val="20"/>
                <w:szCs w:val="20"/>
              </w:rPr>
              <w:t xml:space="preserve">Reg </w:t>
            </w:r>
            <w:r>
              <w:rPr>
                <w:rFonts w:cstheme="minorHAnsi"/>
                <w:bCs/>
                <w:sz w:val="20"/>
                <w:szCs w:val="20"/>
              </w:rPr>
              <w:t>284/2013</w:t>
            </w:r>
          </w:p>
        </w:tc>
        <w:tc>
          <w:tcPr>
            <w:tcW w:w="1276" w:type="dxa"/>
            <w:vMerge/>
            <w:tcBorders>
              <w:left w:val="single" w:sz="4" w:space="0" w:color="auto"/>
              <w:bottom w:val="single" w:sz="4" w:space="0" w:color="auto"/>
              <w:right w:val="single" w:sz="4" w:space="0" w:color="auto"/>
            </w:tcBorders>
            <w:vAlign w:val="center"/>
          </w:tcPr>
          <w:p w14:paraId="56CA2E3E" w14:textId="77777777" w:rsidR="00E74D6E" w:rsidRPr="00A53847" w:rsidRDefault="00E74D6E" w:rsidP="00955D4D">
            <w:pPr>
              <w:spacing w:after="0"/>
              <w:jc w:val="center"/>
              <w:rPr>
                <w:rFonts w:cstheme="minorHAnsi"/>
                <w:bCs/>
                <w:sz w:val="20"/>
                <w:szCs w:val="20"/>
              </w:rPr>
            </w:pPr>
          </w:p>
        </w:tc>
        <w:tc>
          <w:tcPr>
            <w:tcW w:w="1559" w:type="dxa"/>
            <w:vMerge/>
            <w:tcBorders>
              <w:left w:val="single" w:sz="4" w:space="0" w:color="auto"/>
              <w:bottom w:val="single" w:sz="4" w:space="0" w:color="auto"/>
              <w:right w:val="single" w:sz="4" w:space="0" w:color="auto"/>
            </w:tcBorders>
            <w:vAlign w:val="center"/>
          </w:tcPr>
          <w:p w14:paraId="255CE2E8" w14:textId="77777777" w:rsidR="00E74D6E" w:rsidRPr="00A53847" w:rsidRDefault="00E74D6E" w:rsidP="00955D4D">
            <w:pPr>
              <w:spacing w:after="0"/>
              <w:jc w:val="center"/>
              <w:rPr>
                <w:rFonts w:cstheme="minorHAnsi"/>
                <w:bCs/>
                <w:sz w:val="20"/>
                <w:szCs w:val="20"/>
              </w:rPr>
            </w:pPr>
          </w:p>
        </w:tc>
        <w:tc>
          <w:tcPr>
            <w:tcW w:w="1559" w:type="dxa"/>
            <w:vMerge/>
            <w:tcBorders>
              <w:left w:val="single" w:sz="4" w:space="0" w:color="auto"/>
              <w:bottom w:val="single" w:sz="4" w:space="0" w:color="auto"/>
              <w:right w:val="single" w:sz="4" w:space="0" w:color="auto"/>
            </w:tcBorders>
            <w:vAlign w:val="center"/>
          </w:tcPr>
          <w:p w14:paraId="7779A4B6" w14:textId="77777777" w:rsidR="00E74D6E" w:rsidRPr="00A53847" w:rsidRDefault="00E74D6E" w:rsidP="00955D4D">
            <w:pPr>
              <w:spacing w:after="0"/>
              <w:jc w:val="center"/>
              <w:rPr>
                <w:rFonts w:cstheme="minorHAnsi"/>
                <w:bCs/>
                <w:sz w:val="20"/>
                <w:szCs w:val="20"/>
              </w:rPr>
            </w:pPr>
          </w:p>
        </w:tc>
        <w:tc>
          <w:tcPr>
            <w:tcW w:w="1559" w:type="dxa"/>
            <w:vMerge/>
            <w:tcBorders>
              <w:left w:val="single" w:sz="4" w:space="0" w:color="auto"/>
              <w:bottom w:val="single" w:sz="4" w:space="0" w:color="auto"/>
              <w:right w:val="single" w:sz="4" w:space="0" w:color="auto"/>
            </w:tcBorders>
            <w:vAlign w:val="center"/>
          </w:tcPr>
          <w:p w14:paraId="10B0D06F" w14:textId="77777777" w:rsidR="00E74D6E" w:rsidRPr="00A53847" w:rsidRDefault="00E74D6E" w:rsidP="00955D4D">
            <w:pPr>
              <w:spacing w:after="0"/>
              <w:jc w:val="center"/>
              <w:rPr>
                <w:rFonts w:cstheme="minorHAnsi"/>
                <w:bCs/>
                <w:sz w:val="20"/>
                <w:szCs w:val="20"/>
              </w:rPr>
            </w:pPr>
          </w:p>
        </w:tc>
        <w:tc>
          <w:tcPr>
            <w:tcW w:w="3119" w:type="dxa"/>
            <w:gridSpan w:val="2"/>
            <w:vMerge/>
            <w:tcBorders>
              <w:left w:val="single" w:sz="4" w:space="0" w:color="auto"/>
              <w:bottom w:val="single" w:sz="4" w:space="0" w:color="auto"/>
              <w:right w:val="single" w:sz="4" w:space="0" w:color="auto"/>
            </w:tcBorders>
            <w:vAlign w:val="center"/>
          </w:tcPr>
          <w:p w14:paraId="6A38DE9B" w14:textId="77777777" w:rsidR="00E74D6E" w:rsidRPr="00A53847" w:rsidRDefault="00E74D6E" w:rsidP="00955D4D">
            <w:pPr>
              <w:spacing w:after="0"/>
              <w:jc w:val="center"/>
              <w:rPr>
                <w:rFonts w:cstheme="minorHAnsi"/>
                <w:bCs/>
                <w:sz w:val="20"/>
                <w:szCs w:val="20"/>
              </w:rPr>
            </w:pPr>
          </w:p>
        </w:tc>
        <w:tc>
          <w:tcPr>
            <w:tcW w:w="1276" w:type="dxa"/>
            <w:vMerge/>
            <w:tcBorders>
              <w:left w:val="single" w:sz="4" w:space="0" w:color="auto"/>
              <w:bottom w:val="single" w:sz="4" w:space="0" w:color="auto"/>
              <w:right w:val="single" w:sz="4" w:space="0" w:color="auto"/>
            </w:tcBorders>
            <w:vAlign w:val="center"/>
          </w:tcPr>
          <w:p w14:paraId="22C0C790" w14:textId="77777777" w:rsidR="00E74D6E" w:rsidRPr="00A53847" w:rsidRDefault="00E74D6E" w:rsidP="00955D4D">
            <w:pPr>
              <w:spacing w:after="0"/>
              <w:jc w:val="center"/>
              <w:rPr>
                <w:rFonts w:cstheme="minorHAnsi"/>
                <w:bCs/>
                <w:sz w:val="20"/>
                <w:szCs w:val="20"/>
              </w:rPr>
            </w:pPr>
          </w:p>
        </w:tc>
        <w:tc>
          <w:tcPr>
            <w:tcW w:w="1417" w:type="dxa"/>
            <w:vMerge/>
            <w:tcBorders>
              <w:left w:val="single" w:sz="4" w:space="0" w:color="auto"/>
              <w:bottom w:val="single" w:sz="4" w:space="0" w:color="auto"/>
              <w:right w:val="single" w:sz="4" w:space="0" w:color="auto"/>
            </w:tcBorders>
            <w:vAlign w:val="center"/>
          </w:tcPr>
          <w:p w14:paraId="58B49E53" w14:textId="77777777" w:rsidR="00E74D6E" w:rsidRPr="00A53847" w:rsidRDefault="00E74D6E" w:rsidP="00955D4D">
            <w:pPr>
              <w:spacing w:after="0"/>
              <w:jc w:val="center"/>
              <w:rPr>
                <w:rFonts w:cstheme="minorHAnsi"/>
                <w:bCs/>
                <w:sz w:val="20"/>
                <w:szCs w:val="20"/>
              </w:rPr>
            </w:pPr>
          </w:p>
        </w:tc>
      </w:tr>
      <w:tr w:rsidR="00E74D6E" w:rsidRPr="00263308" w14:paraId="5909D367"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0CA2A4" w14:textId="77777777" w:rsidR="00E74D6E" w:rsidRPr="00A53847" w:rsidRDefault="00E74D6E" w:rsidP="00955D4D">
            <w:pPr>
              <w:spacing w:after="0"/>
              <w:rPr>
                <w:rFonts w:cstheme="minorHAnsi"/>
                <w:bCs/>
                <w:sz w:val="20"/>
                <w:szCs w:val="20"/>
              </w:rPr>
            </w:pPr>
            <w:r w:rsidRPr="00A53847">
              <w:rPr>
                <w:rFonts w:cstheme="minorHAnsi"/>
                <w:bCs/>
                <w:sz w:val="20"/>
                <w:szCs w:val="20"/>
              </w:rPr>
              <w:t>Biocides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C828C6" w14:textId="77777777" w:rsidR="00E74D6E" w:rsidRPr="00A53847" w:rsidRDefault="00E74D6E" w:rsidP="00955D4D">
            <w:pPr>
              <w:spacing w:after="0"/>
              <w:rPr>
                <w:rFonts w:cstheme="minorHAnsi"/>
                <w:bCs/>
                <w:sz w:val="20"/>
                <w:szCs w:val="20"/>
              </w:rPr>
            </w:pPr>
            <w:r>
              <w:rPr>
                <w:rFonts w:cstheme="minorHAnsi"/>
                <w:bCs/>
                <w:sz w:val="20"/>
                <w:szCs w:val="20"/>
              </w:rPr>
              <w:t>Re 528/2012</w:t>
            </w:r>
          </w:p>
        </w:tc>
        <w:tc>
          <w:tcPr>
            <w:tcW w:w="1276" w:type="dxa"/>
            <w:tcBorders>
              <w:top w:val="single" w:sz="4" w:space="0" w:color="auto"/>
              <w:left w:val="single" w:sz="4" w:space="0" w:color="auto"/>
              <w:bottom w:val="single" w:sz="4" w:space="0" w:color="auto"/>
              <w:right w:val="single" w:sz="4" w:space="0" w:color="auto"/>
            </w:tcBorders>
            <w:vAlign w:val="center"/>
          </w:tcPr>
          <w:p w14:paraId="5DD0FA70" w14:textId="77777777" w:rsidR="00E74D6E" w:rsidRPr="00A53847" w:rsidRDefault="00E74D6E" w:rsidP="00955D4D">
            <w:pPr>
              <w:spacing w:after="0"/>
              <w:jc w:val="center"/>
              <w:rPr>
                <w:rFonts w:cstheme="minorHAnsi"/>
                <w:bCs/>
                <w:sz w:val="20"/>
                <w:szCs w:val="20"/>
              </w:rPr>
            </w:pPr>
            <w:r>
              <w:rPr>
                <w:rFonts w:cstheme="minorHAnsi"/>
                <w:bCs/>
                <w:sz w:val="20"/>
                <w:szCs w:val="20"/>
              </w:rPr>
              <w:t>No (Environment)/ Yes (Residues)</w:t>
            </w:r>
          </w:p>
        </w:tc>
        <w:tc>
          <w:tcPr>
            <w:tcW w:w="1559" w:type="dxa"/>
            <w:tcBorders>
              <w:top w:val="single" w:sz="4" w:space="0" w:color="auto"/>
              <w:left w:val="single" w:sz="4" w:space="0" w:color="auto"/>
              <w:bottom w:val="single" w:sz="4" w:space="0" w:color="auto"/>
              <w:right w:val="single" w:sz="4" w:space="0" w:color="auto"/>
            </w:tcBorders>
            <w:vAlign w:val="center"/>
          </w:tcPr>
          <w:p w14:paraId="3524719B"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522715C2"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407A9422"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991C254" w14:textId="77777777" w:rsidR="00E74D6E" w:rsidRPr="00A53847" w:rsidRDefault="00E74D6E" w:rsidP="00955D4D">
            <w:pPr>
              <w:spacing w:after="0"/>
              <w:rPr>
                <w:rFonts w:cstheme="minorHAnsi"/>
                <w:bCs/>
                <w:sz w:val="20"/>
                <w:szCs w:val="20"/>
              </w:rPr>
            </w:pPr>
            <w:r>
              <w:rPr>
                <w:rFonts w:cstheme="minorHAnsi"/>
                <w:bCs/>
                <w:sz w:val="20"/>
                <w:szCs w:val="20"/>
              </w:rPr>
              <w:t>Yes – WM approach, plus risk assessment, if the biocidal product is intended to be used in combination with other biocidal product</w:t>
            </w:r>
          </w:p>
        </w:tc>
        <w:tc>
          <w:tcPr>
            <w:tcW w:w="1276" w:type="dxa"/>
            <w:tcBorders>
              <w:top w:val="single" w:sz="4" w:space="0" w:color="auto"/>
              <w:left w:val="single" w:sz="4" w:space="0" w:color="auto"/>
              <w:bottom w:val="single" w:sz="4" w:space="0" w:color="auto"/>
              <w:right w:val="single" w:sz="4" w:space="0" w:color="auto"/>
            </w:tcBorders>
            <w:vAlign w:val="center"/>
          </w:tcPr>
          <w:p w14:paraId="27D8F286"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48DCC8A2"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r>
      <w:tr w:rsidR="00E74D6E" w:rsidRPr="00263308" w14:paraId="348116F3"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000D7A" w14:textId="77777777" w:rsidR="00E74D6E" w:rsidRPr="00A53847" w:rsidRDefault="00E74D6E" w:rsidP="00955D4D">
            <w:pPr>
              <w:spacing w:after="0"/>
              <w:rPr>
                <w:rFonts w:cstheme="minorHAnsi"/>
                <w:bCs/>
                <w:sz w:val="20"/>
                <w:szCs w:val="20"/>
              </w:rPr>
            </w:pPr>
            <w:r w:rsidRPr="00A53847">
              <w:rPr>
                <w:rFonts w:cstheme="minorHAnsi"/>
                <w:bCs/>
                <w:sz w:val="20"/>
                <w:szCs w:val="20"/>
              </w:rPr>
              <w:t>Human medicines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11F336" w14:textId="77777777" w:rsidR="00E74D6E" w:rsidRPr="00A53847" w:rsidRDefault="00E74D6E" w:rsidP="00955D4D">
            <w:pPr>
              <w:spacing w:after="0"/>
              <w:rPr>
                <w:rFonts w:cstheme="minorHAnsi"/>
                <w:bCs/>
                <w:sz w:val="20"/>
                <w:szCs w:val="20"/>
              </w:rPr>
            </w:pPr>
            <w:r>
              <w:rPr>
                <w:rFonts w:cstheme="minorHAnsi"/>
                <w:bCs/>
                <w:sz w:val="20"/>
                <w:szCs w:val="20"/>
              </w:rPr>
              <w:t>Dir 2001/83/EC</w:t>
            </w:r>
          </w:p>
        </w:tc>
        <w:tc>
          <w:tcPr>
            <w:tcW w:w="1276" w:type="dxa"/>
            <w:tcBorders>
              <w:top w:val="single" w:sz="4" w:space="0" w:color="auto"/>
              <w:left w:val="single" w:sz="4" w:space="0" w:color="auto"/>
              <w:bottom w:val="single" w:sz="4" w:space="0" w:color="auto"/>
              <w:right w:val="single" w:sz="4" w:space="0" w:color="auto"/>
            </w:tcBorders>
            <w:vAlign w:val="center"/>
          </w:tcPr>
          <w:p w14:paraId="45AC3C0E" w14:textId="77777777" w:rsidR="00E74D6E" w:rsidRPr="00A53847" w:rsidRDefault="00E74D6E" w:rsidP="00955D4D">
            <w:pPr>
              <w:spacing w:after="0"/>
              <w:jc w:val="center"/>
              <w:rPr>
                <w:rFonts w:cstheme="minorHAnsi"/>
                <w:bCs/>
                <w:sz w:val="20"/>
                <w:szCs w:val="20"/>
              </w:rPr>
            </w:pPr>
            <w:r>
              <w:rPr>
                <w:rFonts w:cstheme="minorHAnsi"/>
                <w:bCs/>
                <w:sz w:val="20"/>
                <w:szCs w:val="20"/>
              </w:rPr>
              <w:t xml:space="preserve">No </w:t>
            </w:r>
          </w:p>
        </w:tc>
        <w:tc>
          <w:tcPr>
            <w:tcW w:w="1559" w:type="dxa"/>
            <w:tcBorders>
              <w:top w:val="single" w:sz="4" w:space="0" w:color="auto"/>
              <w:left w:val="single" w:sz="4" w:space="0" w:color="auto"/>
              <w:bottom w:val="single" w:sz="4" w:space="0" w:color="auto"/>
              <w:right w:val="single" w:sz="4" w:space="0" w:color="auto"/>
            </w:tcBorders>
            <w:vAlign w:val="center"/>
          </w:tcPr>
          <w:p w14:paraId="7B88ABF7" w14:textId="77777777" w:rsidR="00E74D6E" w:rsidRPr="00A53847" w:rsidRDefault="00E74D6E" w:rsidP="00955D4D">
            <w:pPr>
              <w:spacing w:after="0"/>
              <w:jc w:val="center"/>
              <w:rPr>
                <w:rFonts w:cstheme="minorHAnsi"/>
                <w:bCs/>
                <w:sz w:val="20"/>
                <w:szCs w:val="20"/>
              </w:rPr>
            </w:pPr>
            <w:r>
              <w:rPr>
                <w:rFonts w:cstheme="minorHAnsi"/>
                <w:bCs/>
                <w:sz w:val="20"/>
                <w:szCs w:val="20"/>
              </w:rPr>
              <w:t xml:space="preserve">Not specified </w:t>
            </w:r>
          </w:p>
        </w:tc>
        <w:tc>
          <w:tcPr>
            <w:tcW w:w="1559" w:type="dxa"/>
            <w:tcBorders>
              <w:top w:val="single" w:sz="4" w:space="0" w:color="auto"/>
              <w:left w:val="single" w:sz="4" w:space="0" w:color="auto"/>
              <w:bottom w:val="single" w:sz="4" w:space="0" w:color="auto"/>
              <w:right w:val="single" w:sz="4" w:space="0" w:color="auto"/>
            </w:tcBorders>
            <w:vAlign w:val="center"/>
          </w:tcPr>
          <w:p w14:paraId="453A1C7D"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6163C7B1"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4BF0BACD"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6D3B1AB8"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0F7CF34B"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478E2DD5"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r>
      <w:tr w:rsidR="00E74D6E" w:rsidRPr="00263308" w14:paraId="3C7DA98A"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5A488F" w14:textId="77777777" w:rsidR="00E74D6E" w:rsidRPr="00A53847" w:rsidRDefault="00E74D6E" w:rsidP="00955D4D">
            <w:pPr>
              <w:spacing w:after="0"/>
              <w:rPr>
                <w:rFonts w:cstheme="minorHAnsi"/>
                <w:bCs/>
                <w:sz w:val="20"/>
                <w:szCs w:val="20"/>
              </w:rPr>
            </w:pPr>
            <w:r w:rsidRPr="00A53847">
              <w:rPr>
                <w:rFonts w:cstheme="minorHAnsi"/>
                <w:bCs/>
                <w:sz w:val="20"/>
                <w:szCs w:val="20"/>
              </w:rPr>
              <w:t>Veterinary medicines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E7F73" w14:textId="77777777" w:rsidR="00E74D6E" w:rsidRPr="00A53847" w:rsidRDefault="00E74D6E" w:rsidP="00955D4D">
            <w:pPr>
              <w:spacing w:after="0"/>
              <w:rPr>
                <w:rFonts w:cstheme="minorHAnsi"/>
                <w:bCs/>
                <w:sz w:val="20"/>
                <w:szCs w:val="20"/>
              </w:rPr>
            </w:pPr>
            <w:r>
              <w:rPr>
                <w:rFonts w:cstheme="minorHAnsi"/>
                <w:bCs/>
                <w:sz w:val="20"/>
                <w:szCs w:val="20"/>
              </w:rPr>
              <w:t>Dir 2001/82/EC</w:t>
            </w:r>
          </w:p>
        </w:tc>
        <w:tc>
          <w:tcPr>
            <w:tcW w:w="1276" w:type="dxa"/>
            <w:tcBorders>
              <w:top w:val="single" w:sz="4" w:space="0" w:color="auto"/>
              <w:left w:val="single" w:sz="4" w:space="0" w:color="auto"/>
              <w:bottom w:val="single" w:sz="4" w:space="0" w:color="auto"/>
              <w:right w:val="single" w:sz="4" w:space="0" w:color="auto"/>
            </w:tcBorders>
            <w:vAlign w:val="center"/>
          </w:tcPr>
          <w:p w14:paraId="048C2F08" w14:textId="77777777" w:rsidR="00E74D6E" w:rsidRPr="00A53847" w:rsidRDefault="00E74D6E" w:rsidP="00955D4D">
            <w:pPr>
              <w:spacing w:after="0"/>
              <w:jc w:val="center"/>
              <w:rPr>
                <w:rFonts w:cstheme="minorHAnsi"/>
                <w:bCs/>
                <w:sz w:val="20"/>
                <w:szCs w:val="20"/>
              </w:rPr>
            </w:pPr>
            <w:r>
              <w:rPr>
                <w:rFonts w:cstheme="minorHAnsi"/>
                <w:bCs/>
                <w:sz w:val="20"/>
                <w:szCs w:val="20"/>
              </w:rPr>
              <w:t>No (Environment) / Yes (residues in foodstuff)</w:t>
            </w:r>
          </w:p>
        </w:tc>
        <w:tc>
          <w:tcPr>
            <w:tcW w:w="1559" w:type="dxa"/>
            <w:tcBorders>
              <w:top w:val="single" w:sz="4" w:space="0" w:color="auto"/>
              <w:left w:val="single" w:sz="4" w:space="0" w:color="auto"/>
              <w:bottom w:val="single" w:sz="4" w:space="0" w:color="auto"/>
              <w:right w:val="single" w:sz="4" w:space="0" w:color="auto"/>
            </w:tcBorders>
            <w:vAlign w:val="center"/>
          </w:tcPr>
          <w:p w14:paraId="10F4E7A1" w14:textId="77777777" w:rsidR="00E74D6E" w:rsidRPr="00A53847" w:rsidRDefault="00E74D6E" w:rsidP="00955D4D">
            <w:pPr>
              <w:spacing w:after="0"/>
              <w:jc w:val="center"/>
              <w:rPr>
                <w:rFonts w:cstheme="minorHAnsi"/>
                <w:bCs/>
                <w:sz w:val="20"/>
                <w:szCs w:val="20"/>
              </w:rPr>
            </w:pPr>
            <w:r>
              <w:rPr>
                <w:rFonts w:cstheme="minorHAnsi"/>
                <w:bCs/>
                <w:sz w:val="20"/>
                <w:szCs w:val="20"/>
              </w:rPr>
              <w:t xml:space="preserve">Not specified </w:t>
            </w:r>
          </w:p>
        </w:tc>
        <w:tc>
          <w:tcPr>
            <w:tcW w:w="1559" w:type="dxa"/>
            <w:tcBorders>
              <w:top w:val="single" w:sz="4" w:space="0" w:color="auto"/>
              <w:left w:val="single" w:sz="4" w:space="0" w:color="auto"/>
              <w:bottom w:val="single" w:sz="4" w:space="0" w:color="auto"/>
              <w:right w:val="single" w:sz="4" w:space="0" w:color="auto"/>
            </w:tcBorders>
            <w:vAlign w:val="center"/>
          </w:tcPr>
          <w:p w14:paraId="1E66B4ED"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6537ACBB"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23EA6A76"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7302F340"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533ADBE7"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14131E4A"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r>
      <w:tr w:rsidR="00E74D6E" w:rsidRPr="00263308" w14:paraId="7BEBBCEC"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DDF6DD" w14:textId="77777777" w:rsidR="00E74D6E" w:rsidRPr="00A53847" w:rsidRDefault="00E74D6E" w:rsidP="00955D4D">
            <w:pPr>
              <w:spacing w:after="0"/>
              <w:rPr>
                <w:rFonts w:cstheme="minorHAnsi"/>
                <w:bCs/>
                <w:sz w:val="20"/>
                <w:szCs w:val="20"/>
              </w:rPr>
            </w:pPr>
            <w:r w:rsidRPr="00A53847">
              <w:rPr>
                <w:rFonts w:cstheme="minorHAnsi"/>
                <w:bCs/>
                <w:sz w:val="20"/>
                <w:szCs w:val="20"/>
              </w:rPr>
              <w:t xml:space="preserve">Cosmetics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544D0F" w14:textId="77777777" w:rsidR="00E74D6E" w:rsidRPr="00A53847" w:rsidRDefault="00E74D6E" w:rsidP="00955D4D">
            <w:pPr>
              <w:spacing w:after="0"/>
              <w:rPr>
                <w:rFonts w:cstheme="minorHAnsi"/>
                <w:bCs/>
                <w:sz w:val="20"/>
                <w:szCs w:val="20"/>
              </w:rPr>
            </w:pPr>
            <w:r>
              <w:rPr>
                <w:rFonts w:cstheme="minorHAnsi"/>
                <w:bCs/>
                <w:sz w:val="20"/>
                <w:szCs w:val="20"/>
              </w:rPr>
              <w:t>Reg 1223/2009</w:t>
            </w:r>
          </w:p>
        </w:tc>
        <w:tc>
          <w:tcPr>
            <w:tcW w:w="1276" w:type="dxa"/>
            <w:tcBorders>
              <w:top w:val="single" w:sz="4" w:space="0" w:color="auto"/>
              <w:left w:val="single" w:sz="4" w:space="0" w:color="auto"/>
              <w:bottom w:val="single" w:sz="4" w:space="0" w:color="auto"/>
              <w:right w:val="single" w:sz="4" w:space="0" w:color="auto"/>
            </w:tcBorders>
            <w:vAlign w:val="center"/>
          </w:tcPr>
          <w:p w14:paraId="361D0AF2"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1339BF3B"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296A01B1"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62CFB32C" w14:textId="77777777" w:rsidR="00E74D6E" w:rsidRPr="00A53847" w:rsidRDefault="00E74D6E" w:rsidP="00955D4D">
            <w:pPr>
              <w:spacing w:after="0"/>
              <w:jc w:val="center"/>
              <w:rPr>
                <w:rFonts w:cstheme="minorHAnsi"/>
                <w:bCs/>
                <w:sz w:val="20"/>
                <w:szCs w:val="20"/>
              </w:rPr>
            </w:pPr>
            <w:r>
              <w:rPr>
                <w:rFonts w:cstheme="minorHAnsi"/>
                <w:bCs/>
                <w:sz w:val="20"/>
                <w:szCs w:val="20"/>
              </w:rPr>
              <w:t>Through REACH</w:t>
            </w:r>
          </w:p>
        </w:tc>
        <w:tc>
          <w:tcPr>
            <w:tcW w:w="1560" w:type="dxa"/>
            <w:tcBorders>
              <w:top w:val="single" w:sz="4" w:space="0" w:color="auto"/>
              <w:left w:val="single" w:sz="4" w:space="0" w:color="auto"/>
              <w:bottom w:val="single" w:sz="4" w:space="0" w:color="auto"/>
              <w:right w:val="single" w:sz="4" w:space="0" w:color="auto"/>
            </w:tcBorders>
            <w:vAlign w:val="center"/>
          </w:tcPr>
          <w:p w14:paraId="551990F3"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50DA9EAE"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6E066255"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05F75104"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r>
      <w:tr w:rsidR="00E74D6E" w:rsidRPr="00263308" w14:paraId="118CCA65"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BBABF6" w14:textId="77777777" w:rsidR="00E74D6E" w:rsidRPr="00A53847" w:rsidRDefault="00E74D6E" w:rsidP="00955D4D">
            <w:pPr>
              <w:spacing w:after="0"/>
              <w:rPr>
                <w:rFonts w:cstheme="minorHAnsi"/>
                <w:bCs/>
                <w:sz w:val="20"/>
                <w:szCs w:val="20"/>
              </w:rPr>
            </w:pPr>
            <w:r w:rsidRPr="00A53847">
              <w:rPr>
                <w:rFonts w:cstheme="minorHAnsi"/>
                <w:bCs/>
                <w:sz w:val="20"/>
                <w:szCs w:val="20"/>
              </w:rPr>
              <w:t>CLP</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C0CA84" w14:textId="77777777" w:rsidR="00E74D6E" w:rsidRPr="00A53847" w:rsidRDefault="00E74D6E" w:rsidP="00955D4D">
            <w:pPr>
              <w:spacing w:after="0"/>
              <w:rPr>
                <w:rFonts w:cstheme="minorHAnsi"/>
                <w:bCs/>
                <w:sz w:val="20"/>
                <w:szCs w:val="20"/>
              </w:rPr>
            </w:pPr>
            <w:r>
              <w:rPr>
                <w:rFonts w:cstheme="minorHAnsi"/>
                <w:bCs/>
                <w:sz w:val="20"/>
                <w:szCs w:val="20"/>
              </w:rPr>
              <w:t>Reg 1272/2008</w:t>
            </w:r>
          </w:p>
        </w:tc>
        <w:tc>
          <w:tcPr>
            <w:tcW w:w="1276" w:type="dxa"/>
            <w:tcBorders>
              <w:top w:val="single" w:sz="4" w:space="0" w:color="auto"/>
              <w:left w:val="single" w:sz="4" w:space="0" w:color="auto"/>
              <w:bottom w:val="single" w:sz="4" w:space="0" w:color="auto"/>
              <w:right w:val="single" w:sz="4" w:space="0" w:color="auto"/>
            </w:tcBorders>
            <w:vAlign w:val="center"/>
          </w:tcPr>
          <w:p w14:paraId="56261519"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0E04568C"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5778F301"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560F4567"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22E66AAB"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7C96EB53"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276" w:type="dxa"/>
            <w:tcBorders>
              <w:top w:val="single" w:sz="4" w:space="0" w:color="auto"/>
              <w:left w:val="single" w:sz="4" w:space="0" w:color="auto"/>
              <w:bottom w:val="single" w:sz="4" w:space="0" w:color="auto"/>
              <w:right w:val="single" w:sz="4" w:space="0" w:color="auto"/>
            </w:tcBorders>
            <w:vAlign w:val="center"/>
          </w:tcPr>
          <w:p w14:paraId="44CEBAC0"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49DF2B4B"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r>
      <w:tr w:rsidR="00E74D6E" w:rsidRPr="00263308" w14:paraId="2BD355F0"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3D389D" w14:textId="77777777" w:rsidR="00E74D6E" w:rsidRPr="00A53847" w:rsidRDefault="00E74D6E" w:rsidP="00955D4D">
            <w:pPr>
              <w:spacing w:after="0"/>
              <w:rPr>
                <w:rFonts w:cstheme="minorHAnsi"/>
                <w:bCs/>
                <w:sz w:val="20"/>
                <w:szCs w:val="20"/>
              </w:rPr>
            </w:pPr>
            <w:r w:rsidRPr="00A53847">
              <w:rPr>
                <w:rFonts w:cstheme="minorHAnsi"/>
                <w:bCs/>
                <w:sz w:val="20"/>
                <w:szCs w:val="20"/>
              </w:rPr>
              <w:t>REACH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B1DA85" w14:textId="77777777" w:rsidR="00E74D6E" w:rsidRPr="00A53847" w:rsidRDefault="00E74D6E" w:rsidP="00955D4D">
            <w:pPr>
              <w:spacing w:after="0"/>
              <w:rPr>
                <w:rFonts w:cstheme="minorHAnsi"/>
                <w:bCs/>
                <w:sz w:val="20"/>
                <w:szCs w:val="20"/>
              </w:rPr>
            </w:pPr>
            <w:r>
              <w:rPr>
                <w:rFonts w:cstheme="minorHAnsi"/>
                <w:bCs/>
                <w:sz w:val="20"/>
                <w:szCs w:val="20"/>
              </w:rPr>
              <w:t>Reg 1907/2006</w:t>
            </w:r>
          </w:p>
        </w:tc>
        <w:tc>
          <w:tcPr>
            <w:tcW w:w="1276" w:type="dxa"/>
            <w:tcBorders>
              <w:top w:val="single" w:sz="4" w:space="0" w:color="auto"/>
              <w:left w:val="single" w:sz="4" w:space="0" w:color="auto"/>
              <w:bottom w:val="single" w:sz="4" w:space="0" w:color="auto"/>
              <w:right w:val="single" w:sz="4" w:space="0" w:color="auto"/>
            </w:tcBorders>
            <w:vAlign w:val="center"/>
          </w:tcPr>
          <w:p w14:paraId="3618E0FB"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737BCDA7"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6F8D8304"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22E81A54"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3D46D551"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6172653B"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276" w:type="dxa"/>
            <w:tcBorders>
              <w:top w:val="single" w:sz="4" w:space="0" w:color="auto"/>
              <w:left w:val="single" w:sz="4" w:space="0" w:color="auto"/>
              <w:bottom w:val="single" w:sz="4" w:space="0" w:color="auto"/>
              <w:right w:val="single" w:sz="4" w:space="0" w:color="auto"/>
            </w:tcBorders>
            <w:vAlign w:val="center"/>
          </w:tcPr>
          <w:p w14:paraId="7CA27C58"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00893C1A"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r>
      <w:tr w:rsidR="00E74D6E" w:rsidRPr="00263308" w14:paraId="42B4F39F"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949D45" w14:textId="77777777" w:rsidR="00E74D6E" w:rsidRPr="00A53847" w:rsidRDefault="00E74D6E" w:rsidP="00955D4D">
            <w:pPr>
              <w:spacing w:after="0"/>
              <w:rPr>
                <w:rFonts w:cstheme="minorHAnsi"/>
                <w:bCs/>
                <w:sz w:val="20"/>
                <w:szCs w:val="20"/>
              </w:rPr>
            </w:pPr>
            <w:r w:rsidRPr="00A53847">
              <w:rPr>
                <w:rFonts w:cstheme="minorHAnsi"/>
                <w:bCs/>
                <w:sz w:val="20"/>
                <w:szCs w:val="20"/>
              </w:rPr>
              <w:t>Food additive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2578B" w14:textId="77777777" w:rsidR="00E74D6E" w:rsidRPr="00A53847" w:rsidRDefault="00E74D6E" w:rsidP="00955D4D">
            <w:pPr>
              <w:spacing w:after="0"/>
              <w:rPr>
                <w:rFonts w:cstheme="minorHAnsi"/>
                <w:bCs/>
                <w:sz w:val="20"/>
                <w:szCs w:val="20"/>
              </w:rPr>
            </w:pPr>
            <w:r>
              <w:rPr>
                <w:rFonts w:cstheme="minorHAnsi"/>
                <w:bCs/>
                <w:sz w:val="20"/>
                <w:szCs w:val="20"/>
              </w:rPr>
              <w:t>Reg 1333/2008</w:t>
            </w:r>
          </w:p>
        </w:tc>
        <w:tc>
          <w:tcPr>
            <w:tcW w:w="1276" w:type="dxa"/>
            <w:tcBorders>
              <w:top w:val="single" w:sz="4" w:space="0" w:color="auto"/>
              <w:left w:val="single" w:sz="4" w:space="0" w:color="auto"/>
              <w:bottom w:val="single" w:sz="4" w:space="0" w:color="auto"/>
              <w:right w:val="single" w:sz="4" w:space="0" w:color="auto"/>
            </w:tcBorders>
            <w:vAlign w:val="center"/>
          </w:tcPr>
          <w:p w14:paraId="04C527D9" w14:textId="77777777" w:rsidR="00E74D6E" w:rsidRPr="00A53847" w:rsidRDefault="00E74D6E" w:rsidP="00955D4D">
            <w:pPr>
              <w:spacing w:after="0"/>
              <w:jc w:val="center"/>
              <w:rPr>
                <w:rFonts w:cstheme="minorHAnsi"/>
                <w:bCs/>
                <w:sz w:val="20"/>
                <w:szCs w:val="20"/>
              </w:rPr>
            </w:pPr>
            <w:r>
              <w:rPr>
                <w:rFonts w:cstheme="minorHAnsi"/>
                <w:bCs/>
                <w:sz w:val="20"/>
                <w:szCs w:val="20"/>
              </w:rPr>
              <w:t xml:space="preserve">Yes (intake) </w:t>
            </w:r>
          </w:p>
        </w:tc>
        <w:tc>
          <w:tcPr>
            <w:tcW w:w="1559" w:type="dxa"/>
            <w:tcBorders>
              <w:top w:val="single" w:sz="4" w:space="0" w:color="auto"/>
              <w:left w:val="single" w:sz="4" w:space="0" w:color="auto"/>
              <w:bottom w:val="single" w:sz="4" w:space="0" w:color="auto"/>
              <w:right w:val="single" w:sz="4" w:space="0" w:color="auto"/>
            </w:tcBorders>
            <w:vAlign w:val="center"/>
          </w:tcPr>
          <w:p w14:paraId="1A9653BA"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1416BA46"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46F4CFA5"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c>
          <w:tcPr>
            <w:tcW w:w="1560" w:type="dxa"/>
            <w:tcBorders>
              <w:top w:val="single" w:sz="4" w:space="0" w:color="auto"/>
              <w:left w:val="single" w:sz="4" w:space="0" w:color="auto"/>
              <w:bottom w:val="single" w:sz="4" w:space="0" w:color="auto"/>
              <w:right w:val="single" w:sz="4" w:space="0" w:color="auto"/>
            </w:tcBorders>
            <w:vAlign w:val="center"/>
          </w:tcPr>
          <w:p w14:paraId="38CEB9F8"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6DC12E71"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271F8C9B"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0061CAFD"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r>
      <w:tr w:rsidR="00E74D6E" w:rsidRPr="00263308" w14:paraId="30E57DE7"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F2FEF2" w14:textId="77777777" w:rsidR="00E74D6E" w:rsidRPr="00A53847" w:rsidRDefault="00E74D6E" w:rsidP="00955D4D">
            <w:pPr>
              <w:spacing w:after="0"/>
              <w:rPr>
                <w:rFonts w:cstheme="minorHAnsi"/>
                <w:bCs/>
                <w:sz w:val="20"/>
                <w:szCs w:val="20"/>
              </w:rPr>
            </w:pPr>
            <w:r w:rsidRPr="00A53847">
              <w:rPr>
                <w:rFonts w:cstheme="minorHAnsi"/>
                <w:bCs/>
                <w:sz w:val="20"/>
                <w:szCs w:val="20"/>
              </w:rPr>
              <w:t xml:space="preserve">Feed additive and feed additive assessment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2B4628" w14:textId="77777777" w:rsidR="00E74D6E" w:rsidRPr="00A53847" w:rsidRDefault="00E74D6E" w:rsidP="00955D4D">
            <w:pPr>
              <w:spacing w:after="0"/>
              <w:rPr>
                <w:rFonts w:cstheme="minorHAnsi"/>
                <w:bCs/>
                <w:sz w:val="20"/>
                <w:szCs w:val="20"/>
              </w:rPr>
            </w:pPr>
            <w:r>
              <w:rPr>
                <w:rFonts w:cstheme="minorHAnsi"/>
                <w:bCs/>
                <w:sz w:val="20"/>
                <w:szCs w:val="20"/>
              </w:rPr>
              <w:t>Reg 1331/2008; Reg 429/2008</w:t>
            </w:r>
          </w:p>
        </w:tc>
        <w:tc>
          <w:tcPr>
            <w:tcW w:w="1276" w:type="dxa"/>
            <w:tcBorders>
              <w:top w:val="single" w:sz="4" w:space="0" w:color="auto"/>
              <w:left w:val="single" w:sz="4" w:space="0" w:color="auto"/>
              <w:bottom w:val="single" w:sz="4" w:space="0" w:color="auto"/>
              <w:right w:val="single" w:sz="4" w:space="0" w:color="auto"/>
            </w:tcBorders>
            <w:vAlign w:val="center"/>
          </w:tcPr>
          <w:p w14:paraId="2A2F47DF" w14:textId="77777777" w:rsidR="00E74D6E" w:rsidRPr="00A53847" w:rsidRDefault="00E74D6E" w:rsidP="00955D4D">
            <w:pPr>
              <w:spacing w:after="0"/>
              <w:jc w:val="center"/>
              <w:rPr>
                <w:rFonts w:cstheme="minorHAnsi"/>
                <w:bCs/>
                <w:sz w:val="20"/>
                <w:szCs w:val="20"/>
              </w:rPr>
            </w:pPr>
            <w:r>
              <w:rPr>
                <w:rFonts w:cstheme="minorHAnsi"/>
                <w:bCs/>
                <w:sz w:val="20"/>
                <w:szCs w:val="20"/>
              </w:rPr>
              <w:t>Yes (residue)</w:t>
            </w:r>
          </w:p>
        </w:tc>
        <w:tc>
          <w:tcPr>
            <w:tcW w:w="1559" w:type="dxa"/>
            <w:tcBorders>
              <w:top w:val="single" w:sz="4" w:space="0" w:color="auto"/>
              <w:left w:val="single" w:sz="4" w:space="0" w:color="auto"/>
              <w:bottom w:val="single" w:sz="4" w:space="0" w:color="auto"/>
              <w:right w:val="single" w:sz="4" w:space="0" w:color="auto"/>
            </w:tcBorders>
            <w:vAlign w:val="center"/>
          </w:tcPr>
          <w:p w14:paraId="72E4F998"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55483647"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4E571796" w14:textId="77777777" w:rsidR="00E74D6E" w:rsidRPr="00A53847" w:rsidRDefault="00E74D6E" w:rsidP="00955D4D">
            <w:pPr>
              <w:spacing w:after="0"/>
              <w:jc w:val="center"/>
              <w:rPr>
                <w:rFonts w:cstheme="minorHAnsi"/>
                <w:bCs/>
                <w:sz w:val="20"/>
                <w:szCs w:val="20"/>
              </w:rPr>
            </w:pPr>
            <w:r>
              <w:rPr>
                <w:rFonts w:cstheme="minorHAnsi"/>
                <w:bCs/>
                <w:sz w:val="20"/>
                <w:szCs w:val="20"/>
              </w:rPr>
              <w:t>Yes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E30AE81" w14:textId="77777777" w:rsidR="00E74D6E" w:rsidRPr="00A53847" w:rsidRDefault="00E74D6E" w:rsidP="00955D4D">
            <w:pPr>
              <w:spacing w:after="0"/>
              <w:rPr>
                <w:rFonts w:cstheme="minorHAnsi"/>
                <w:bCs/>
                <w:sz w:val="20"/>
                <w:szCs w:val="20"/>
              </w:rPr>
            </w:pPr>
            <w:r>
              <w:rPr>
                <w:rFonts w:cstheme="minorHAnsi"/>
                <w:bCs/>
                <w:sz w:val="20"/>
                <w:szCs w:val="20"/>
              </w:rPr>
              <w:t xml:space="preserve">Additive with multiple components: consideration is given for the cumulative effects or WM assessment. No consideration for </w:t>
            </w:r>
            <w:r>
              <w:rPr>
                <w:rFonts w:cstheme="minorHAnsi"/>
                <w:bCs/>
                <w:sz w:val="20"/>
                <w:szCs w:val="20"/>
              </w:rPr>
              <w:lastRenderedPageBreak/>
              <w:t xml:space="preserve">mixture assessment from different sources. </w:t>
            </w:r>
          </w:p>
        </w:tc>
        <w:tc>
          <w:tcPr>
            <w:tcW w:w="1276" w:type="dxa"/>
            <w:tcBorders>
              <w:top w:val="single" w:sz="4" w:space="0" w:color="auto"/>
              <w:left w:val="single" w:sz="4" w:space="0" w:color="auto"/>
              <w:bottom w:val="single" w:sz="4" w:space="0" w:color="auto"/>
              <w:right w:val="single" w:sz="4" w:space="0" w:color="auto"/>
            </w:tcBorders>
            <w:vAlign w:val="center"/>
          </w:tcPr>
          <w:p w14:paraId="2CA382FA" w14:textId="77777777" w:rsidR="00E74D6E" w:rsidRPr="00A53847" w:rsidRDefault="00E74D6E" w:rsidP="00955D4D">
            <w:pPr>
              <w:spacing w:after="0"/>
              <w:jc w:val="center"/>
              <w:rPr>
                <w:rFonts w:cstheme="minorHAnsi"/>
                <w:bCs/>
                <w:sz w:val="20"/>
                <w:szCs w:val="20"/>
              </w:rPr>
            </w:pPr>
            <w:r>
              <w:rPr>
                <w:rFonts w:cstheme="minorHAnsi"/>
                <w:bCs/>
                <w:sz w:val="20"/>
                <w:szCs w:val="20"/>
              </w:rPr>
              <w:lastRenderedPageBreak/>
              <w:t>Yes</w:t>
            </w:r>
          </w:p>
        </w:tc>
        <w:tc>
          <w:tcPr>
            <w:tcW w:w="1417" w:type="dxa"/>
            <w:tcBorders>
              <w:top w:val="single" w:sz="4" w:space="0" w:color="auto"/>
              <w:left w:val="single" w:sz="4" w:space="0" w:color="auto"/>
              <w:bottom w:val="single" w:sz="4" w:space="0" w:color="auto"/>
              <w:right w:val="single" w:sz="4" w:space="0" w:color="auto"/>
            </w:tcBorders>
            <w:vAlign w:val="center"/>
          </w:tcPr>
          <w:p w14:paraId="17E46AE4" w14:textId="77777777" w:rsidR="00E74D6E" w:rsidRPr="00A53847" w:rsidRDefault="00E74D6E" w:rsidP="00955D4D">
            <w:pPr>
              <w:spacing w:after="0"/>
              <w:jc w:val="center"/>
              <w:rPr>
                <w:rFonts w:cstheme="minorHAnsi"/>
                <w:bCs/>
                <w:sz w:val="20"/>
                <w:szCs w:val="20"/>
              </w:rPr>
            </w:pPr>
            <w:r>
              <w:rPr>
                <w:rFonts w:cstheme="minorHAnsi"/>
                <w:bCs/>
                <w:sz w:val="20"/>
                <w:szCs w:val="20"/>
              </w:rPr>
              <w:t>No</w:t>
            </w:r>
          </w:p>
        </w:tc>
      </w:tr>
      <w:tr w:rsidR="009E689C" w:rsidRPr="00263308" w14:paraId="0C4CBEC8" w14:textId="77777777" w:rsidTr="00833952">
        <w:trPr>
          <w:trHeight w:val="300"/>
        </w:trPr>
        <w:tc>
          <w:tcPr>
            <w:tcW w:w="148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2B7B2A1" w14:textId="74D28412" w:rsidR="009E689C" w:rsidRDefault="009E689C" w:rsidP="009E689C">
            <w:pPr>
              <w:spacing w:after="0"/>
              <w:jc w:val="left"/>
              <w:rPr>
                <w:rFonts w:cstheme="minorHAnsi"/>
                <w:bCs/>
                <w:sz w:val="20"/>
                <w:szCs w:val="20"/>
              </w:rPr>
            </w:pPr>
            <w:r>
              <w:rPr>
                <w:rFonts w:cstheme="minorHAnsi"/>
                <w:bCs/>
                <w:sz w:val="20"/>
                <w:szCs w:val="20"/>
              </w:rPr>
              <w:t xml:space="preserve">Source: </w:t>
            </w:r>
            <w:r>
              <w:rPr>
                <w:rFonts w:cstheme="minorHAnsi"/>
                <w:bCs/>
                <w:sz w:val="20"/>
                <w:szCs w:val="20"/>
              </w:rPr>
              <w:fldChar w:fldCharType="begin" w:fldLock="1"/>
            </w:r>
            <w:r>
              <w:rPr>
                <w:rFonts w:cstheme="minorHAnsi"/>
                <w:bCs/>
                <w:sz w:val="20"/>
                <w:szCs w:val="20"/>
              </w:rPr>
              <w:instrText>ADDIN CSL_CITATION {"citationItems":[{"id":"ITEM-1","itemData":{"author":[{"dropping-particle":"","family":"Kienzler","given":"A","non-dropping-particle":"","parse-names":false,"suffix":""},{"dropping-particle":"","family":"Berggren","given":"E","non-dropping-particle":"","parse-names":false,"suffix":""},{"dropping-particle":"","family":"Bessems","given":"J","non-dropping-particle":"","parse-names":false,"suffix":""},{"dropping-particle":"","family":"Bopp","given":"S","non-dropping-particle":"","parse-names":false,"suffix":""},{"dropping-particle":"","family":"Linden","given":"A","non-dropping-particle":"van der","parse-names":false,"suffix":""},{"dropping-particle":"","family":"Worth","given":"A","non-dropping-particle":"","parse-names":false,"suffix":""}],"id":"ITEM-1","issued":{"date-parts":[["2014"]]},"title":"Assessment of Mixtures - Review of regulatory requirements and guidance","type":"report"},"uris":["http://www.mendeley.com/documents/?uuid=5c945669-900e-4dc6-b6f1-b13a81ac46bd"]}],"mendeley":{"formattedCitation":"(Kienzler &lt;i&gt;et al.&lt;/i&gt;, 2014)","plainTextFormattedCitation":"(Kienzler et al., 2014)","previouslyFormattedCitation":"(Kienzler &lt;i&gt;et al.&lt;/i&gt;, 2014)"},"properties":{"noteIndex":0},"schema":"https://github.com/citation-style-language/schema/raw/master/csl-citation.json"}</w:instrText>
            </w:r>
            <w:r>
              <w:rPr>
                <w:rFonts w:cstheme="minorHAnsi"/>
                <w:bCs/>
                <w:sz w:val="20"/>
                <w:szCs w:val="20"/>
              </w:rPr>
              <w:fldChar w:fldCharType="separate"/>
            </w:r>
            <w:r w:rsidRPr="009E689C">
              <w:rPr>
                <w:rFonts w:cstheme="minorHAnsi"/>
                <w:bCs/>
                <w:noProof/>
                <w:sz w:val="20"/>
                <w:szCs w:val="20"/>
              </w:rPr>
              <w:t xml:space="preserve">(Kienzler </w:t>
            </w:r>
            <w:r w:rsidRPr="009E689C">
              <w:rPr>
                <w:rFonts w:cstheme="minorHAnsi"/>
                <w:bCs/>
                <w:i/>
                <w:noProof/>
                <w:sz w:val="20"/>
                <w:szCs w:val="20"/>
              </w:rPr>
              <w:t>et al.</w:t>
            </w:r>
            <w:r w:rsidRPr="009E689C">
              <w:rPr>
                <w:rFonts w:cstheme="minorHAnsi"/>
                <w:bCs/>
                <w:noProof/>
                <w:sz w:val="20"/>
                <w:szCs w:val="20"/>
              </w:rPr>
              <w:t>, 2014)</w:t>
            </w:r>
            <w:r>
              <w:rPr>
                <w:rFonts w:cstheme="minorHAnsi"/>
                <w:bCs/>
                <w:sz w:val="20"/>
                <w:szCs w:val="20"/>
              </w:rPr>
              <w:fldChar w:fldCharType="end"/>
            </w:r>
          </w:p>
        </w:tc>
      </w:tr>
    </w:tbl>
    <w:p w14:paraId="0E937851" w14:textId="65200E3B" w:rsidR="00636FDC" w:rsidRDefault="00636FDC" w:rsidP="00D73CC2"/>
    <w:p w14:paraId="5FF0D08B" w14:textId="77777777" w:rsidR="000301CD" w:rsidRDefault="000301CD" w:rsidP="00D73CC2"/>
    <w:tbl>
      <w:tblPr>
        <w:tblW w:w="14884" w:type="dxa"/>
        <w:tblInd w:w="-5" w:type="dxa"/>
        <w:tblLayout w:type="fixed"/>
        <w:tblLook w:val="04A0" w:firstRow="1" w:lastRow="0" w:firstColumn="1" w:lastColumn="0" w:noHBand="0" w:noVBand="1"/>
      </w:tblPr>
      <w:tblGrid>
        <w:gridCol w:w="1701"/>
        <w:gridCol w:w="1418"/>
        <w:gridCol w:w="1276"/>
        <w:gridCol w:w="1559"/>
        <w:gridCol w:w="1559"/>
        <w:gridCol w:w="1559"/>
        <w:gridCol w:w="1560"/>
        <w:gridCol w:w="1559"/>
        <w:gridCol w:w="1276"/>
        <w:gridCol w:w="1417"/>
      </w:tblGrid>
      <w:tr w:rsidR="003B7C94" w:rsidRPr="00263308" w14:paraId="440F57F1" w14:textId="77777777" w:rsidTr="00955D4D">
        <w:trPr>
          <w:trHeight w:val="300"/>
          <w:tblHeader/>
        </w:trPr>
        <w:tc>
          <w:tcPr>
            <w:tcW w:w="14884" w:type="dxa"/>
            <w:gridSpan w:val="10"/>
            <w:tcBorders>
              <w:top w:val="single" w:sz="4" w:space="0" w:color="auto"/>
              <w:left w:val="single" w:sz="4" w:space="0" w:color="auto"/>
              <w:bottom w:val="single" w:sz="4" w:space="0" w:color="auto"/>
              <w:right w:val="single" w:sz="4" w:space="0" w:color="auto"/>
            </w:tcBorders>
            <w:shd w:val="clear" w:color="auto" w:fill="003399"/>
            <w:vAlign w:val="center"/>
          </w:tcPr>
          <w:p w14:paraId="347D400F" w14:textId="3C7D8965" w:rsidR="003B7C94" w:rsidRPr="00263308" w:rsidRDefault="003B7C94" w:rsidP="00955D4D">
            <w:pPr>
              <w:spacing w:after="0"/>
              <w:rPr>
                <w:rFonts w:cstheme="minorHAnsi"/>
                <w:b/>
                <w:sz w:val="20"/>
                <w:szCs w:val="20"/>
              </w:rPr>
            </w:pPr>
            <w:r w:rsidRPr="00263308">
              <w:rPr>
                <w:rFonts w:cstheme="minorHAnsi"/>
                <w:b/>
                <w:sz w:val="20"/>
                <w:szCs w:val="20"/>
              </w:rPr>
              <w:t xml:space="preserve">Table </w:t>
            </w:r>
            <w:r w:rsidRPr="00263308">
              <w:rPr>
                <w:rFonts w:cstheme="minorHAnsi"/>
                <w:b/>
                <w:sz w:val="20"/>
                <w:szCs w:val="20"/>
              </w:rPr>
              <w:fldChar w:fldCharType="begin"/>
            </w:r>
            <w:r w:rsidRPr="00263308">
              <w:rPr>
                <w:rFonts w:cstheme="minorHAnsi"/>
                <w:b/>
                <w:sz w:val="20"/>
                <w:szCs w:val="20"/>
              </w:rPr>
              <w:instrText xml:space="preserve"> STYLEREF 1 \s </w:instrText>
            </w:r>
            <w:r w:rsidRPr="00263308">
              <w:rPr>
                <w:rFonts w:cstheme="minorHAnsi"/>
                <w:b/>
                <w:sz w:val="20"/>
                <w:szCs w:val="20"/>
              </w:rPr>
              <w:fldChar w:fldCharType="separate"/>
            </w:r>
            <w:r>
              <w:rPr>
                <w:rFonts w:cstheme="minorHAnsi"/>
                <w:b/>
                <w:noProof/>
                <w:sz w:val="20"/>
                <w:szCs w:val="20"/>
              </w:rPr>
              <w:t>1</w:t>
            </w:r>
            <w:r w:rsidRPr="00263308">
              <w:rPr>
                <w:rFonts w:cstheme="minorHAnsi"/>
                <w:sz w:val="20"/>
                <w:szCs w:val="20"/>
              </w:rPr>
              <w:fldChar w:fldCharType="end"/>
            </w:r>
            <w:r w:rsidRPr="00263308">
              <w:rPr>
                <w:rFonts w:cstheme="minorHAnsi"/>
                <w:b/>
                <w:sz w:val="20"/>
                <w:szCs w:val="20"/>
              </w:rPr>
              <w:noBreakHyphen/>
            </w:r>
            <w:r w:rsidRPr="00263308">
              <w:rPr>
                <w:rFonts w:cstheme="minorHAnsi"/>
                <w:b/>
                <w:sz w:val="20"/>
                <w:szCs w:val="20"/>
              </w:rPr>
              <w:fldChar w:fldCharType="begin"/>
            </w:r>
            <w:r w:rsidRPr="00263308">
              <w:rPr>
                <w:rFonts w:cstheme="minorHAnsi"/>
                <w:b/>
                <w:sz w:val="20"/>
                <w:szCs w:val="20"/>
              </w:rPr>
              <w:instrText xml:space="preserve"> SEQ Table \* ARABIC \s 1 </w:instrText>
            </w:r>
            <w:r w:rsidRPr="00263308">
              <w:rPr>
                <w:rFonts w:cstheme="minorHAnsi"/>
                <w:b/>
                <w:sz w:val="20"/>
                <w:szCs w:val="20"/>
              </w:rPr>
              <w:fldChar w:fldCharType="separate"/>
            </w:r>
            <w:r>
              <w:rPr>
                <w:rFonts w:cstheme="minorHAnsi"/>
                <w:b/>
                <w:noProof/>
                <w:sz w:val="20"/>
                <w:szCs w:val="20"/>
              </w:rPr>
              <w:t>2</w:t>
            </w:r>
            <w:r w:rsidRPr="00263308">
              <w:rPr>
                <w:rFonts w:cstheme="minorHAnsi"/>
                <w:sz w:val="20"/>
                <w:szCs w:val="20"/>
              </w:rPr>
              <w:fldChar w:fldCharType="end"/>
            </w:r>
            <w:r w:rsidRPr="00263308">
              <w:rPr>
                <w:rFonts w:cstheme="minorHAnsi"/>
                <w:bCs/>
                <w:sz w:val="20"/>
                <w:szCs w:val="20"/>
              </w:rPr>
              <w:t xml:space="preserve">: </w:t>
            </w:r>
            <w:r>
              <w:rPr>
                <w:rFonts w:cstheme="minorHAnsi"/>
                <w:b/>
                <w:bCs/>
                <w:sz w:val="20"/>
                <w:szCs w:val="20"/>
              </w:rPr>
              <w:t xml:space="preserve">Summary table – chemical and mixture </w:t>
            </w:r>
            <w:r>
              <w:rPr>
                <w:rFonts w:cstheme="minorHAnsi"/>
                <w:b/>
                <w:bCs/>
                <w:sz w:val="20"/>
                <w:szCs w:val="20"/>
              </w:rPr>
              <w:t>assessment</w:t>
            </w:r>
            <w:r>
              <w:rPr>
                <w:rFonts w:cstheme="minorHAnsi"/>
                <w:b/>
                <w:bCs/>
                <w:sz w:val="20"/>
                <w:szCs w:val="20"/>
              </w:rPr>
              <w:t xml:space="preserve"> requirements in European </w:t>
            </w:r>
            <w:r w:rsidR="00FC4DFB">
              <w:rPr>
                <w:rFonts w:cstheme="minorHAnsi"/>
                <w:b/>
                <w:bCs/>
                <w:sz w:val="20"/>
                <w:szCs w:val="20"/>
              </w:rPr>
              <w:t>legislation</w:t>
            </w:r>
            <w:r>
              <w:rPr>
                <w:rFonts w:cstheme="minorHAnsi"/>
                <w:b/>
                <w:bCs/>
                <w:sz w:val="20"/>
                <w:szCs w:val="20"/>
              </w:rPr>
              <w:t xml:space="preserve">. </w:t>
            </w:r>
            <w:r>
              <w:rPr>
                <w:rFonts w:cstheme="minorHAnsi"/>
                <w:b/>
                <w:bCs/>
                <w:sz w:val="20"/>
                <w:szCs w:val="20"/>
              </w:rPr>
              <w:t xml:space="preserve">Generated or coincidental </w:t>
            </w:r>
            <w:r>
              <w:rPr>
                <w:rFonts w:cstheme="minorHAnsi"/>
                <w:b/>
                <w:bCs/>
                <w:sz w:val="20"/>
                <w:szCs w:val="20"/>
              </w:rPr>
              <w:t xml:space="preserve"> mixtures</w:t>
            </w:r>
          </w:p>
        </w:tc>
      </w:tr>
      <w:tr w:rsidR="003B7C94" w:rsidRPr="00263308" w14:paraId="4F7E347E" w14:textId="77777777" w:rsidTr="00955D4D">
        <w:trPr>
          <w:trHeight w:val="300"/>
          <w:tblHeader/>
        </w:trPr>
        <w:tc>
          <w:tcPr>
            <w:tcW w:w="1701" w:type="dxa"/>
            <w:vMerge w:val="restart"/>
            <w:tcBorders>
              <w:top w:val="single" w:sz="4" w:space="0" w:color="auto"/>
              <w:left w:val="single" w:sz="4" w:space="0" w:color="auto"/>
              <w:right w:val="single" w:sz="4" w:space="0" w:color="auto"/>
            </w:tcBorders>
            <w:shd w:val="clear" w:color="auto" w:fill="003399"/>
            <w:vAlign w:val="center"/>
          </w:tcPr>
          <w:p w14:paraId="1BAD7FE3" w14:textId="77777777" w:rsidR="003B7C94" w:rsidRDefault="003B7C94" w:rsidP="00955D4D">
            <w:pPr>
              <w:spacing w:after="0"/>
              <w:rPr>
                <w:rFonts w:cstheme="minorHAnsi"/>
                <w:b/>
                <w:sz w:val="20"/>
                <w:szCs w:val="20"/>
              </w:rPr>
            </w:pPr>
            <w:r>
              <w:rPr>
                <w:rFonts w:cstheme="minorHAnsi"/>
                <w:b/>
                <w:sz w:val="20"/>
                <w:szCs w:val="20"/>
              </w:rPr>
              <w:t>Legislative area</w:t>
            </w:r>
          </w:p>
        </w:tc>
        <w:tc>
          <w:tcPr>
            <w:tcW w:w="1418" w:type="dxa"/>
            <w:vMerge w:val="restart"/>
            <w:tcBorders>
              <w:top w:val="single" w:sz="4" w:space="0" w:color="auto"/>
              <w:left w:val="single" w:sz="4" w:space="0" w:color="auto"/>
              <w:right w:val="single" w:sz="4" w:space="0" w:color="auto"/>
            </w:tcBorders>
            <w:shd w:val="clear" w:color="auto" w:fill="003399"/>
            <w:vAlign w:val="center"/>
          </w:tcPr>
          <w:p w14:paraId="6A0FD7F1" w14:textId="77777777" w:rsidR="003B7C94" w:rsidRDefault="003B7C94" w:rsidP="00955D4D">
            <w:pPr>
              <w:spacing w:after="0"/>
              <w:rPr>
                <w:rFonts w:cstheme="minorHAnsi"/>
                <w:b/>
                <w:sz w:val="20"/>
                <w:szCs w:val="20"/>
              </w:rPr>
            </w:pPr>
            <w:r>
              <w:rPr>
                <w:rFonts w:cstheme="minorHAnsi"/>
                <w:b/>
                <w:sz w:val="20"/>
                <w:szCs w:val="20"/>
              </w:rPr>
              <w:t xml:space="preserve">Act </w:t>
            </w:r>
          </w:p>
        </w:tc>
        <w:tc>
          <w:tcPr>
            <w:tcW w:w="1276" w:type="dxa"/>
            <w:vMerge w:val="restart"/>
            <w:tcBorders>
              <w:top w:val="single" w:sz="4" w:space="0" w:color="auto"/>
              <w:left w:val="single" w:sz="4" w:space="0" w:color="auto"/>
              <w:right w:val="single" w:sz="4" w:space="0" w:color="auto"/>
            </w:tcBorders>
            <w:shd w:val="clear" w:color="auto" w:fill="003399"/>
          </w:tcPr>
          <w:p w14:paraId="7CDC2664" w14:textId="77777777" w:rsidR="003B7C94" w:rsidRDefault="003B7C94" w:rsidP="00955D4D">
            <w:pPr>
              <w:spacing w:after="0"/>
              <w:rPr>
                <w:rFonts w:cstheme="minorHAnsi"/>
                <w:b/>
                <w:sz w:val="20"/>
                <w:szCs w:val="20"/>
              </w:rPr>
            </w:pPr>
            <w:r>
              <w:rPr>
                <w:rFonts w:cstheme="minorHAnsi"/>
                <w:b/>
                <w:sz w:val="20"/>
                <w:szCs w:val="20"/>
              </w:rPr>
              <w:t>Chemical monitoring and analysis</w:t>
            </w:r>
          </w:p>
        </w:tc>
        <w:tc>
          <w:tcPr>
            <w:tcW w:w="1559" w:type="dxa"/>
            <w:vMerge w:val="restart"/>
            <w:tcBorders>
              <w:top w:val="single" w:sz="4" w:space="0" w:color="auto"/>
              <w:left w:val="single" w:sz="4" w:space="0" w:color="auto"/>
              <w:right w:val="single" w:sz="4" w:space="0" w:color="auto"/>
            </w:tcBorders>
            <w:shd w:val="clear" w:color="auto" w:fill="003399"/>
          </w:tcPr>
          <w:p w14:paraId="24B9D579" w14:textId="77777777" w:rsidR="003B7C94" w:rsidRDefault="003B7C94" w:rsidP="00955D4D">
            <w:pPr>
              <w:spacing w:after="0"/>
              <w:rPr>
                <w:rFonts w:cstheme="minorHAnsi"/>
                <w:b/>
                <w:sz w:val="20"/>
                <w:szCs w:val="20"/>
              </w:rPr>
            </w:pPr>
            <w:r>
              <w:rPr>
                <w:rFonts w:cstheme="minorHAnsi"/>
                <w:b/>
                <w:sz w:val="20"/>
                <w:szCs w:val="20"/>
              </w:rPr>
              <w:t>Encouraging alternative methods to animal testing</w:t>
            </w:r>
          </w:p>
        </w:tc>
        <w:tc>
          <w:tcPr>
            <w:tcW w:w="3118" w:type="dxa"/>
            <w:gridSpan w:val="2"/>
            <w:tcBorders>
              <w:top w:val="single" w:sz="4" w:space="0" w:color="auto"/>
              <w:left w:val="single" w:sz="4" w:space="0" w:color="auto"/>
              <w:bottom w:val="single" w:sz="4" w:space="0" w:color="auto"/>
              <w:right w:val="single" w:sz="4" w:space="0" w:color="auto"/>
            </w:tcBorders>
            <w:shd w:val="clear" w:color="auto" w:fill="003399"/>
          </w:tcPr>
          <w:p w14:paraId="083F4246" w14:textId="77777777" w:rsidR="003B7C94" w:rsidRPr="00263308" w:rsidRDefault="003B7C94" w:rsidP="00955D4D">
            <w:pPr>
              <w:spacing w:after="0"/>
              <w:rPr>
                <w:rFonts w:cstheme="minorHAnsi"/>
                <w:b/>
                <w:sz w:val="20"/>
                <w:szCs w:val="20"/>
              </w:rPr>
            </w:pPr>
            <w:r>
              <w:rPr>
                <w:rFonts w:cstheme="minorHAnsi"/>
                <w:b/>
                <w:sz w:val="20"/>
                <w:szCs w:val="20"/>
              </w:rPr>
              <w:t>Chemical risk assessment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003399"/>
          </w:tcPr>
          <w:p w14:paraId="7DDE3D8F" w14:textId="77777777" w:rsidR="003B7C94" w:rsidRPr="00263308" w:rsidRDefault="003B7C94" w:rsidP="00955D4D">
            <w:pPr>
              <w:spacing w:after="0"/>
              <w:rPr>
                <w:rFonts w:cstheme="minorHAnsi"/>
                <w:b/>
                <w:sz w:val="20"/>
                <w:szCs w:val="20"/>
              </w:rPr>
            </w:pPr>
            <w:r>
              <w:rPr>
                <w:rFonts w:cstheme="minorHAnsi"/>
                <w:b/>
                <w:sz w:val="20"/>
                <w:szCs w:val="20"/>
              </w:rPr>
              <w:t>Mixture assessment</w:t>
            </w:r>
          </w:p>
        </w:tc>
        <w:tc>
          <w:tcPr>
            <w:tcW w:w="1276" w:type="dxa"/>
            <w:vMerge w:val="restart"/>
            <w:tcBorders>
              <w:top w:val="single" w:sz="4" w:space="0" w:color="auto"/>
              <w:left w:val="single" w:sz="4" w:space="0" w:color="auto"/>
              <w:right w:val="single" w:sz="4" w:space="0" w:color="auto"/>
            </w:tcBorders>
            <w:shd w:val="clear" w:color="auto" w:fill="003399"/>
          </w:tcPr>
          <w:p w14:paraId="51EC97C0" w14:textId="77777777" w:rsidR="003B7C94" w:rsidRPr="00263308" w:rsidRDefault="003B7C94" w:rsidP="00955D4D">
            <w:pPr>
              <w:spacing w:after="0"/>
              <w:rPr>
                <w:rFonts w:cstheme="minorHAnsi"/>
                <w:b/>
                <w:sz w:val="20"/>
                <w:szCs w:val="20"/>
              </w:rPr>
            </w:pPr>
            <w:r>
              <w:rPr>
                <w:rFonts w:cstheme="minorHAnsi"/>
                <w:b/>
                <w:sz w:val="20"/>
                <w:szCs w:val="20"/>
              </w:rPr>
              <w:t>Prospective RA</w:t>
            </w:r>
          </w:p>
        </w:tc>
        <w:tc>
          <w:tcPr>
            <w:tcW w:w="1417" w:type="dxa"/>
            <w:vMerge w:val="restart"/>
            <w:tcBorders>
              <w:top w:val="single" w:sz="4" w:space="0" w:color="auto"/>
              <w:left w:val="single" w:sz="4" w:space="0" w:color="auto"/>
              <w:right w:val="single" w:sz="4" w:space="0" w:color="auto"/>
            </w:tcBorders>
            <w:shd w:val="clear" w:color="auto" w:fill="003399"/>
          </w:tcPr>
          <w:p w14:paraId="7C8683E0" w14:textId="77777777" w:rsidR="003B7C94" w:rsidRPr="00263308" w:rsidRDefault="003B7C94" w:rsidP="00955D4D">
            <w:pPr>
              <w:spacing w:after="0"/>
              <w:rPr>
                <w:rFonts w:cstheme="minorHAnsi"/>
                <w:b/>
                <w:sz w:val="20"/>
                <w:szCs w:val="20"/>
              </w:rPr>
            </w:pPr>
            <w:r>
              <w:rPr>
                <w:rFonts w:cstheme="minorHAnsi"/>
                <w:b/>
                <w:sz w:val="20"/>
                <w:szCs w:val="20"/>
              </w:rPr>
              <w:t>Retrospective RA</w:t>
            </w:r>
          </w:p>
        </w:tc>
      </w:tr>
      <w:tr w:rsidR="003B7C94" w:rsidRPr="00263308" w14:paraId="2568B07B" w14:textId="77777777" w:rsidTr="00955D4D">
        <w:trPr>
          <w:trHeight w:val="300"/>
        </w:trPr>
        <w:tc>
          <w:tcPr>
            <w:tcW w:w="1701" w:type="dxa"/>
            <w:vMerge/>
            <w:tcBorders>
              <w:left w:val="single" w:sz="4" w:space="0" w:color="auto"/>
              <w:bottom w:val="single" w:sz="4" w:space="0" w:color="auto"/>
              <w:right w:val="single" w:sz="4" w:space="0" w:color="auto"/>
            </w:tcBorders>
            <w:shd w:val="clear" w:color="auto" w:fill="003399"/>
            <w:vAlign w:val="center"/>
          </w:tcPr>
          <w:p w14:paraId="37B09306" w14:textId="77777777" w:rsidR="003B7C94" w:rsidRPr="00263308" w:rsidRDefault="003B7C94" w:rsidP="00955D4D">
            <w:pPr>
              <w:spacing w:after="0"/>
              <w:rPr>
                <w:rFonts w:cstheme="minorHAnsi"/>
                <w:b/>
                <w:sz w:val="20"/>
                <w:szCs w:val="20"/>
              </w:rPr>
            </w:pPr>
          </w:p>
        </w:tc>
        <w:tc>
          <w:tcPr>
            <w:tcW w:w="1418" w:type="dxa"/>
            <w:vMerge/>
            <w:tcBorders>
              <w:left w:val="single" w:sz="4" w:space="0" w:color="auto"/>
              <w:bottom w:val="single" w:sz="4" w:space="0" w:color="auto"/>
              <w:right w:val="single" w:sz="4" w:space="0" w:color="auto"/>
            </w:tcBorders>
            <w:shd w:val="clear" w:color="auto" w:fill="003399"/>
            <w:vAlign w:val="center"/>
          </w:tcPr>
          <w:p w14:paraId="0C053170" w14:textId="77777777" w:rsidR="003B7C94" w:rsidRPr="00263308" w:rsidRDefault="003B7C94" w:rsidP="00955D4D">
            <w:pPr>
              <w:spacing w:after="0"/>
              <w:rPr>
                <w:rFonts w:cstheme="minorHAnsi"/>
                <w:b/>
                <w:sz w:val="20"/>
                <w:szCs w:val="20"/>
              </w:rPr>
            </w:pPr>
          </w:p>
        </w:tc>
        <w:tc>
          <w:tcPr>
            <w:tcW w:w="1276" w:type="dxa"/>
            <w:vMerge/>
            <w:tcBorders>
              <w:left w:val="single" w:sz="4" w:space="0" w:color="auto"/>
              <w:bottom w:val="single" w:sz="4" w:space="0" w:color="auto"/>
              <w:right w:val="single" w:sz="4" w:space="0" w:color="auto"/>
            </w:tcBorders>
            <w:shd w:val="clear" w:color="auto" w:fill="003399"/>
          </w:tcPr>
          <w:p w14:paraId="3E464A83" w14:textId="77777777" w:rsidR="003B7C94" w:rsidRPr="00263308" w:rsidRDefault="003B7C94" w:rsidP="00955D4D">
            <w:pPr>
              <w:spacing w:after="0"/>
              <w:rPr>
                <w:rFonts w:cstheme="minorHAnsi"/>
                <w:b/>
                <w:sz w:val="20"/>
                <w:szCs w:val="20"/>
              </w:rPr>
            </w:pPr>
          </w:p>
        </w:tc>
        <w:tc>
          <w:tcPr>
            <w:tcW w:w="1559" w:type="dxa"/>
            <w:vMerge/>
            <w:tcBorders>
              <w:left w:val="single" w:sz="4" w:space="0" w:color="auto"/>
              <w:bottom w:val="single" w:sz="4" w:space="0" w:color="auto"/>
              <w:right w:val="single" w:sz="4" w:space="0" w:color="auto"/>
            </w:tcBorders>
            <w:shd w:val="clear" w:color="auto" w:fill="003399"/>
          </w:tcPr>
          <w:p w14:paraId="29A55F9A" w14:textId="77777777" w:rsidR="003B7C94" w:rsidRPr="00263308" w:rsidRDefault="003B7C94" w:rsidP="00955D4D">
            <w:pPr>
              <w:spacing w:after="0"/>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003399"/>
          </w:tcPr>
          <w:p w14:paraId="485172E2" w14:textId="77777777" w:rsidR="003B7C94" w:rsidRPr="00263308" w:rsidRDefault="003B7C94" w:rsidP="00955D4D">
            <w:pPr>
              <w:spacing w:after="0"/>
              <w:rPr>
                <w:rFonts w:cstheme="minorHAnsi"/>
                <w:b/>
                <w:sz w:val="20"/>
                <w:szCs w:val="20"/>
              </w:rPr>
            </w:pPr>
            <w:r>
              <w:rPr>
                <w:rFonts w:cstheme="minorHAnsi"/>
                <w:b/>
                <w:sz w:val="20"/>
                <w:szCs w:val="20"/>
              </w:rPr>
              <w:t>Human health</w:t>
            </w:r>
          </w:p>
        </w:tc>
        <w:tc>
          <w:tcPr>
            <w:tcW w:w="1559" w:type="dxa"/>
            <w:tcBorders>
              <w:top w:val="single" w:sz="4" w:space="0" w:color="auto"/>
              <w:left w:val="single" w:sz="4" w:space="0" w:color="auto"/>
              <w:bottom w:val="single" w:sz="4" w:space="0" w:color="auto"/>
              <w:right w:val="single" w:sz="4" w:space="0" w:color="auto"/>
            </w:tcBorders>
            <w:shd w:val="clear" w:color="auto" w:fill="003399"/>
          </w:tcPr>
          <w:p w14:paraId="77B11D11" w14:textId="77777777" w:rsidR="003B7C94" w:rsidRPr="00263308" w:rsidRDefault="003B7C94" w:rsidP="00955D4D">
            <w:pPr>
              <w:spacing w:after="0"/>
              <w:rPr>
                <w:rFonts w:cstheme="minorHAnsi"/>
                <w:b/>
                <w:sz w:val="20"/>
                <w:szCs w:val="20"/>
              </w:rPr>
            </w:pPr>
            <w:r>
              <w:rPr>
                <w:rFonts w:cstheme="minorHAnsi"/>
                <w:b/>
                <w:sz w:val="20"/>
                <w:szCs w:val="20"/>
              </w:rPr>
              <w:t>Environmental health</w:t>
            </w:r>
          </w:p>
        </w:tc>
        <w:tc>
          <w:tcPr>
            <w:tcW w:w="1560" w:type="dxa"/>
            <w:tcBorders>
              <w:top w:val="single" w:sz="4" w:space="0" w:color="auto"/>
              <w:left w:val="single" w:sz="4" w:space="0" w:color="auto"/>
              <w:bottom w:val="single" w:sz="4" w:space="0" w:color="auto"/>
              <w:right w:val="single" w:sz="4" w:space="0" w:color="auto"/>
            </w:tcBorders>
            <w:shd w:val="clear" w:color="auto" w:fill="003399"/>
          </w:tcPr>
          <w:p w14:paraId="60B514A1" w14:textId="77777777" w:rsidR="003B7C94" w:rsidRPr="00263308" w:rsidRDefault="003B7C94" w:rsidP="00955D4D">
            <w:pPr>
              <w:spacing w:after="0"/>
              <w:rPr>
                <w:rFonts w:cstheme="minorHAnsi"/>
                <w:b/>
                <w:sz w:val="20"/>
                <w:szCs w:val="20"/>
              </w:rPr>
            </w:pPr>
            <w:r>
              <w:rPr>
                <w:rFonts w:cstheme="minorHAnsi"/>
                <w:b/>
                <w:sz w:val="20"/>
                <w:szCs w:val="20"/>
              </w:rPr>
              <w:t>Human health</w:t>
            </w:r>
          </w:p>
        </w:tc>
        <w:tc>
          <w:tcPr>
            <w:tcW w:w="1559" w:type="dxa"/>
            <w:tcBorders>
              <w:top w:val="single" w:sz="4" w:space="0" w:color="auto"/>
              <w:left w:val="single" w:sz="4" w:space="0" w:color="auto"/>
              <w:bottom w:val="single" w:sz="4" w:space="0" w:color="auto"/>
              <w:right w:val="single" w:sz="4" w:space="0" w:color="auto"/>
            </w:tcBorders>
            <w:shd w:val="clear" w:color="auto" w:fill="003399"/>
          </w:tcPr>
          <w:p w14:paraId="1DE53D48" w14:textId="77777777" w:rsidR="003B7C94" w:rsidRPr="00263308" w:rsidRDefault="003B7C94" w:rsidP="00955D4D">
            <w:pPr>
              <w:spacing w:after="0"/>
              <w:rPr>
                <w:rFonts w:cstheme="minorHAnsi"/>
                <w:b/>
                <w:sz w:val="20"/>
                <w:szCs w:val="20"/>
              </w:rPr>
            </w:pPr>
            <w:r>
              <w:rPr>
                <w:rFonts w:cstheme="minorHAnsi"/>
                <w:b/>
                <w:sz w:val="20"/>
                <w:szCs w:val="20"/>
              </w:rPr>
              <w:t>Environmental health</w:t>
            </w:r>
          </w:p>
        </w:tc>
        <w:tc>
          <w:tcPr>
            <w:tcW w:w="1276" w:type="dxa"/>
            <w:vMerge/>
            <w:tcBorders>
              <w:left w:val="single" w:sz="4" w:space="0" w:color="auto"/>
              <w:bottom w:val="single" w:sz="4" w:space="0" w:color="auto"/>
              <w:right w:val="single" w:sz="4" w:space="0" w:color="auto"/>
            </w:tcBorders>
            <w:shd w:val="clear" w:color="auto" w:fill="003399"/>
          </w:tcPr>
          <w:p w14:paraId="7E6CAFFF" w14:textId="77777777" w:rsidR="003B7C94" w:rsidRPr="00263308" w:rsidRDefault="003B7C94" w:rsidP="00955D4D">
            <w:pPr>
              <w:spacing w:after="0"/>
              <w:rPr>
                <w:rFonts w:cstheme="minorHAnsi"/>
                <w:b/>
                <w:sz w:val="20"/>
                <w:szCs w:val="20"/>
              </w:rPr>
            </w:pPr>
          </w:p>
        </w:tc>
        <w:tc>
          <w:tcPr>
            <w:tcW w:w="1417" w:type="dxa"/>
            <w:vMerge/>
            <w:tcBorders>
              <w:left w:val="single" w:sz="4" w:space="0" w:color="auto"/>
              <w:bottom w:val="single" w:sz="4" w:space="0" w:color="auto"/>
              <w:right w:val="single" w:sz="4" w:space="0" w:color="auto"/>
            </w:tcBorders>
            <w:shd w:val="clear" w:color="auto" w:fill="003399"/>
          </w:tcPr>
          <w:p w14:paraId="2AA8B65C" w14:textId="77777777" w:rsidR="003B7C94" w:rsidRPr="00263308" w:rsidRDefault="003B7C94" w:rsidP="00955D4D">
            <w:pPr>
              <w:spacing w:after="0"/>
              <w:rPr>
                <w:rFonts w:cstheme="minorHAnsi"/>
                <w:b/>
                <w:sz w:val="20"/>
                <w:szCs w:val="20"/>
              </w:rPr>
            </w:pPr>
          </w:p>
        </w:tc>
      </w:tr>
      <w:tr w:rsidR="003B7C94" w:rsidRPr="00263308" w14:paraId="3878F4F0"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E29D6A" w14:textId="77777777" w:rsidR="003B7C94" w:rsidRPr="00A53847" w:rsidRDefault="003B7C94" w:rsidP="00955D4D">
            <w:pPr>
              <w:spacing w:after="0"/>
              <w:rPr>
                <w:rFonts w:cstheme="minorHAnsi"/>
                <w:bCs/>
                <w:sz w:val="20"/>
                <w:szCs w:val="20"/>
              </w:rPr>
            </w:pPr>
            <w:r w:rsidRPr="00A53847">
              <w:rPr>
                <w:rFonts w:cstheme="minorHAnsi"/>
                <w:bCs/>
                <w:sz w:val="20"/>
                <w:szCs w:val="20"/>
              </w:rPr>
              <w:t>Environmental Impact Assessment (EIA)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BDB529" w14:textId="77777777" w:rsidR="003B7C94" w:rsidRPr="00A53847" w:rsidRDefault="003B7C94" w:rsidP="00955D4D">
            <w:pPr>
              <w:spacing w:after="0"/>
              <w:rPr>
                <w:rFonts w:cstheme="minorHAnsi"/>
                <w:bCs/>
                <w:sz w:val="20"/>
                <w:szCs w:val="20"/>
              </w:rPr>
            </w:pPr>
            <w:r>
              <w:rPr>
                <w:rFonts w:cstheme="minorHAnsi"/>
                <w:bCs/>
                <w:sz w:val="20"/>
                <w:szCs w:val="20"/>
              </w:rPr>
              <w:t>Dir 2011/92/EC</w:t>
            </w:r>
          </w:p>
        </w:tc>
        <w:tc>
          <w:tcPr>
            <w:tcW w:w="1276" w:type="dxa"/>
            <w:tcBorders>
              <w:top w:val="single" w:sz="4" w:space="0" w:color="auto"/>
              <w:left w:val="single" w:sz="4" w:space="0" w:color="auto"/>
              <w:bottom w:val="single" w:sz="4" w:space="0" w:color="auto"/>
              <w:right w:val="single" w:sz="4" w:space="0" w:color="auto"/>
            </w:tcBorders>
            <w:vAlign w:val="center"/>
          </w:tcPr>
          <w:p w14:paraId="68DBD4F0"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5484DC5E" w14:textId="77777777" w:rsidR="003B7C94" w:rsidRPr="00A53847" w:rsidRDefault="003B7C94" w:rsidP="00955D4D">
            <w:pPr>
              <w:spacing w:after="0"/>
              <w:jc w:val="center"/>
              <w:rPr>
                <w:rFonts w:cstheme="minorHAnsi"/>
                <w:bCs/>
                <w:sz w:val="20"/>
                <w:szCs w:val="20"/>
              </w:rPr>
            </w:pPr>
            <w:r>
              <w:rPr>
                <w:rFonts w:cstheme="minorHAnsi"/>
                <w:bCs/>
                <w:sz w:val="20"/>
                <w:szCs w:val="20"/>
              </w:rPr>
              <w:t>No testing</w:t>
            </w:r>
          </w:p>
        </w:tc>
        <w:tc>
          <w:tcPr>
            <w:tcW w:w="1559" w:type="dxa"/>
            <w:tcBorders>
              <w:top w:val="single" w:sz="4" w:space="0" w:color="auto"/>
              <w:left w:val="single" w:sz="4" w:space="0" w:color="auto"/>
              <w:bottom w:val="single" w:sz="4" w:space="0" w:color="auto"/>
              <w:right w:val="single" w:sz="4" w:space="0" w:color="auto"/>
            </w:tcBorders>
            <w:vAlign w:val="center"/>
          </w:tcPr>
          <w:p w14:paraId="0806F28B"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0D9383A9"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F2E909B" w14:textId="77777777" w:rsidR="003B7C94" w:rsidRPr="00A53847" w:rsidRDefault="003B7C94" w:rsidP="00955D4D">
            <w:pPr>
              <w:spacing w:after="0"/>
              <w:jc w:val="center"/>
              <w:rPr>
                <w:rFonts w:cstheme="minorHAnsi"/>
                <w:bCs/>
                <w:sz w:val="20"/>
                <w:szCs w:val="20"/>
              </w:rPr>
            </w:pPr>
            <w:r>
              <w:rPr>
                <w:rFonts w:cstheme="minorHAnsi"/>
                <w:bCs/>
                <w:sz w:val="20"/>
                <w:szCs w:val="20"/>
              </w:rPr>
              <w:t>Should be addressed</w:t>
            </w:r>
          </w:p>
        </w:tc>
        <w:tc>
          <w:tcPr>
            <w:tcW w:w="1276" w:type="dxa"/>
            <w:tcBorders>
              <w:top w:val="single" w:sz="4" w:space="0" w:color="auto"/>
              <w:left w:val="single" w:sz="4" w:space="0" w:color="auto"/>
              <w:bottom w:val="single" w:sz="4" w:space="0" w:color="auto"/>
              <w:right w:val="single" w:sz="4" w:space="0" w:color="auto"/>
            </w:tcBorders>
            <w:vAlign w:val="center"/>
          </w:tcPr>
          <w:p w14:paraId="686E7C92"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71ADED63"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r>
      <w:tr w:rsidR="003B7C94" w:rsidRPr="00263308" w14:paraId="7399EB32"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596C57" w14:textId="77777777" w:rsidR="003B7C94" w:rsidRPr="00A53847" w:rsidRDefault="003B7C94" w:rsidP="00955D4D">
            <w:pPr>
              <w:spacing w:after="0"/>
              <w:rPr>
                <w:rFonts w:cstheme="minorHAnsi"/>
                <w:bCs/>
                <w:sz w:val="20"/>
                <w:szCs w:val="20"/>
              </w:rPr>
            </w:pPr>
            <w:r w:rsidRPr="00A53847">
              <w:rPr>
                <w:rFonts w:cstheme="minorHAnsi"/>
                <w:bCs/>
                <w:sz w:val="20"/>
                <w:szCs w:val="20"/>
              </w:rPr>
              <w:t>Integrated pollution prevention and control (IPPC)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9DEE37" w14:textId="77777777" w:rsidR="003B7C94" w:rsidRPr="00A53847" w:rsidRDefault="003B7C94" w:rsidP="00955D4D">
            <w:pPr>
              <w:spacing w:after="0"/>
              <w:rPr>
                <w:rFonts w:cstheme="minorHAnsi"/>
                <w:bCs/>
                <w:sz w:val="20"/>
                <w:szCs w:val="20"/>
              </w:rPr>
            </w:pPr>
            <w:r>
              <w:rPr>
                <w:rFonts w:cstheme="minorHAnsi"/>
                <w:bCs/>
                <w:sz w:val="20"/>
                <w:szCs w:val="20"/>
              </w:rPr>
              <w:t>Dir 2010/75/EC</w:t>
            </w:r>
          </w:p>
        </w:tc>
        <w:tc>
          <w:tcPr>
            <w:tcW w:w="1276" w:type="dxa"/>
            <w:tcBorders>
              <w:top w:val="single" w:sz="4" w:space="0" w:color="auto"/>
              <w:left w:val="single" w:sz="4" w:space="0" w:color="auto"/>
              <w:bottom w:val="single" w:sz="4" w:space="0" w:color="auto"/>
              <w:right w:val="single" w:sz="4" w:space="0" w:color="auto"/>
            </w:tcBorders>
            <w:vAlign w:val="center"/>
          </w:tcPr>
          <w:p w14:paraId="0DC89F0E"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648AA537" w14:textId="77777777" w:rsidR="003B7C94" w:rsidRPr="00A53847" w:rsidRDefault="003B7C94" w:rsidP="00955D4D">
            <w:pPr>
              <w:spacing w:after="0"/>
              <w:jc w:val="center"/>
              <w:rPr>
                <w:rFonts w:cstheme="minorHAnsi"/>
                <w:bCs/>
                <w:sz w:val="20"/>
                <w:szCs w:val="20"/>
              </w:rPr>
            </w:pPr>
            <w:r>
              <w:rPr>
                <w:rFonts w:cstheme="minorHAnsi"/>
                <w:bCs/>
                <w:sz w:val="20"/>
                <w:szCs w:val="20"/>
              </w:rPr>
              <w:t>No testing</w:t>
            </w:r>
          </w:p>
        </w:tc>
        <w:tc>
          <w:tcPr>
            <w:tcW w:w="1559" w:type="dxa"/>
            <w:tcBorders>
              <w:top w:val="single" w:sz="4" w:space="0" w:color="auto"/>
              <w:left w:val="single" w:sz="4" w:space="0" w:color="auto"/>
              <w:bottom w:val="single" w:sz="4" w:space="0" w:color="auto"/>
              <w:right w:val="single" w:sz="4" w:space="0" w:color="auto"/>
            </w:tcBorders>
            <w:vAlign w:val="center"/>
          </w:tcPr>
          <w:p w14:paraId="35F1139C"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7C8A1F56"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60" w:type="dxa"/>
            <w:tcBorders>
              <w:top w:val="single" w:sz="4" w:space="0" w:color="auto"/>
              <w:left w:val="single" w:sz="4" w:space="0" w:color="auto"/>
              <w:bottom w:val="single" w:sz="4" w:space="0" w:color="auto"/>
              <w:right w:val="single" w:sz="4" w:space="0" w:color="auto"/>
            </w:tcBorders>
            <w:vAlign w:val="center"/>
          </w:tcPr>
          <w:p w14:paraId="59E11403"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2AC994FA"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12650527"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14:paraId="488363D6" w14:textId="77777777" w:rsidR="003B7C94" w:rsidRPr="00A53847" w:rsidRDefault="003B7C94" w:rsidP="00955D4D">
            <w:pPr>
              <w:spacing w:after="0"/>
              <w:jc w:val="center"/>
              <w:rPr>
                <w:rFonts w:cstheme="minorHAnsi"/>
                <w:bCs/>
                <w:sz w:val="20"/>
                <w:szCs w:val="20"/>
              </w:rPr>
            </w:pPr>
            <w:r w:rsidRPr="009C1020">
              <w:rPr>
                <w:rFonts w:cstheme="minorHAnsi"/>
                <w:bCs/>
                <w:sz w:val="20"/>
                <w:szCs w:val="20"/>
              </w:rPr>
              <w:t>No</w:t>
            </w:r>
          </w:p>
        </w:tc>
      </w:tr>
      <w:tr w:rsidR="003B7C94" w:rsidRPr="00263308" w14:paraId="63CA42FD"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E0D0ED" w14:textId="77777777" w:rsidR="003B7C94" w:rsidRPr="00A53847" w:rsidRDefault="003B7C94" w:rsidP="00955D4D">
            <w:pPr>
              <w:spacing w:after="0"/>
              <w:rPr>
                <w:rFonts w:cstheme="minorHAnsi"/>
                <w:bCs/>
                <w:sz w:val="20"/>
                <w:szCs w:val="20"/>
              </w:rPr>
            </w:pPr>
            <w:r w:rsidRPr="00A53847">
              <w:rPr>
                <w:rFonts w:cstheme="minorHAnsi"/>
                <w:bCs/>
                <w:sz w:val="20"/>
                <w:szCs w:val="20"/>
              </w:rPr>
              <w:t>Waste and waste streams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BC065D" w14:textId="77777777" w:rsidR="003B7C94" w:rsidRPr="00A53847" w:rsidRDefault="003B7C94" w:rsidP="00955D4D">
            <w:pPr>
              <w:spacing w:after="0"/>
              <w:rPr>
                <w:rFonts w:cstheme="minorHAnsi"/>
                <w:bCs/>
                <w:sz w:val="20"/>
                <w:szCs w:val="20"/>
              </w:rPr>
            </w:pPr>
            <w:r>
              <w:rPr>
                <w:rFonts w:cstheme="minorHAnsi"/>
                <w:bCs/>
                <w:sz w:val="20"/>
                <w:szCs w:val="20"/>
              </w:rPr>
              <w:t>Dir 2008/98/EC</w:t>
            </w:r>
          </w:p>
        </w:tc>
        <w:tc>
          <w:tcPr>
            <w:tcW w:w="1276" w:type="dxa"/>
            <w:tcBorders>
              <w:top w:val="single" w:sz="4" w:space="0" w:color="auto"/>
              <w:left w:val="single" w:sz="4" w:space="0" w:color="auto"/>
              <w:bottom w:val="single" w:sz="4" w:space="0" w:color="auto"/>
              <w:right w:val="single" w:sz="4" w:space="0" w:color="auto"/>
            </w:tcBorders>
            <w:vAlign w:val="center"/>
          </w:tcPr>
          <w:p w14:paraId="094CF7C7" w14:textId="77777777" w:rsidR="003B7C94" w:rsidRPr="00A53847" w:rsidRDefault="003B7C94" w:rsidP="00955D4D">
            <w:pPr>
              <w:spacing w:after="0"/>
              <w:jc w:val="center"/>
              <w:rPr>
                <w:rFonts w:cstheme="minorHAnsi"/>
                <w:bCs/>
                <w:sz w:val="20"/>
                <w:szCs w:val="20"/>
              </w:rPr>
            </w:pPr>
            <w:r>
              <w:rPr>
                <w:rFonts w:cstheme="minorHAnsi"/>
                <w:bCs/>
                <w:sz w:val="20"/>
                <w:szCs w:val="20"/>
              </w:rPr>
              <w:t>No, but refers to other legislation, e.g. REACH, IPPC</w:t>
            </w:r>
          </w:p>
        </w:tc>
        <w:tc>
          <w:tcPr>
            <w:tcW w:w="1559" w:type="dxa"/>
            <w:tcBorders>
              <w:top w:val="single" w:sz="4" w:space="0" w:color="auto"/>
              <w:left w:val="single" w:sz="4" w:space="0" w:color="auto"/>
              <w:bottom w:val="single" w:sz="4" w:space="0" w:color="auto"/>
              <w:right w:val="single" w:sz="4" w:space="0" w:color="auto"/>
            </w:tcBorders>
            <w:vAlign w:val="center"/>
          </w:tcPr>
          <w:p w14:paraId="68CA4689"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3300ED48" w14:textId="77777777" w:rsidR="003B7C94" w:rsidRPr="00A53847" w:rsidRDefault="003B7C94" w:rsidP="00955D4D">
            <w:pPr>
              <w:spacing w:after="0"/>
              <w:jc w:val="center"/>
              <w:rPr>
                <w:rFonts w:cstheme="minorHAnsi"/>
                <w:bCs/>
                <w:sz w:val="20"/>
                <w:szCs w:val="20"/>
              </w:rPr>
            </w:pPr>
            <w:r>
              <w:rPr>
                <w:rFonts w:cstheme="minorHAnsi"/>
                <w:bCs/>
                <w:sz w:val="20"/>
                <w:szCs w:val="20"/>
              </w:rPr>
              <w:t>Refers to CLP</w:t>
            </w:r>
          </w:p>
        </w:tc>
        <w:tc>
          <w:tcPr>
            <w:tcW w:w="1559" w:type="dxa"/>
            <w:tcBorders>
              <w:top w:val="single" w:sz="4" w:space="0" w:color="auto"/>
              <w:left w:val="single" w:sz="4" w:space="0" w:color="auto"/>
              <w:bottom w:val="single" w:sz="4" w:space="0" w:color="auto"/>
              <w:right w:val="single" w:sz="4" w:space="0" w:color="auto"/>
            </w:tcBorders>
            <w:vAlign w:val="center"/>
          </w:tcPr>
          <w:p w14:paraId="459BB221" w14:textId="77777777" w:rsidR="003B7C94" w:rsidRPr="00A53847" w:rsidRDefault="003B7C94" w:rsidP="00955D4D">
            <w:pPr>
              <w:spacing w:after="0"/>
              <w:jc w:val="center"/>
              <w:rPr>
                <w:rFonts w:cstheme="minorHAnsi"/>
                <w:bCs/>
                <w:sz w:val="20"/>
                <w:szCs w:val="20"/>
              </w:rPr>
            </w:pPr>
            <w:r>
              <w:rPr>
                <w:rFonts w:cstheme="minorHAnsi"/>
                <w:bCs/>
                <w:sz w:val="20"/>
                <w:szCs w:val="20"/>
              </w:rPr>
              <w:t>Refers to CLP</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10D8711"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7F0339F0" w14:textId="77777777" w:rsidR="003B7C94" w:rsidRPr="00A53847" w:rsidRDefault="003B7C94" w:rsidP="00955D4D">
            <w:pPr>
              <w:spacing w:after="0"/>
              <w:jc w:val="center"/>
              <w:rPr>
                <w:rFonts w:cstheme="minorHAnsi"/>
                <w:bCs/>
                <w:sz w:val="20"/>
                <w:szCs w:val="20"/>
              </w:rPr>
            </w:pPr>
            <w:r w:rsidRPr="00CE1C30">
              <w:rPr>
                <w:rFonts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14:paraId="39D2B72E" w14:textId="77777777" w:rsidR="003B7C94" w:rsidRPr="00A53847" w:rsidRDefault="003B7C94" w:rsidP="00955D4D">
            <w:pPr>
              <w:spacing w:after="0"/>
              <w:jc w:val="center"/>
              <w:rPr>
                <w:rFonts w:cstheme="minorHAnsi"/>
                <w:bCs/>
                <w:sz w:val="20"/>
                <w:szCs w:val="20"/>
              </w:rPr>
            </w:pPr>
            <w:r w:rsidRPr="009C1020">
              <w:rPr>
                <w:rFonts w:cstheme="minorHAnsi"/>
                <w:bCs/>
                <w:sz w:val="20"/>
                <w:szCs w:val="20"/>
              </w:rPr>
              <w:t>No</w:t>
            </w:r>
          </w:p>
        </w:tc>
      </w:tr>
      <w:tr w:rsidR="003B7C94" w:rsidRPr="00263308" w14:paraId="2E09B88D"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78D799" w14:textId="77777777" w:rsidR="003B7C94" w:rsidRPr="00A53847" w:rsidRDefault="003B7C94" w:rsidP="00955D4D">
            <w:pPr>
              <w:spacing w:after="0"/>
              <w:rPr>
                <w:rFonts w:cstheme="minorHAnsi"/>
                <w:bCs/>
                <w:sz w:val="20"/>
                <w:szCs w:val="20"/>
              </w:rPr>
            </w:pPr>
            <w:r w:rsidRPr="00A53847">
              <w:rPr>
                <w:rFonts w:cstheme="minorHAnsi"/>
                <w:bCs/>
                <w:sz w:val="20"/>
                <w:szCs w:val="20"/>
              </w:rPr>
              <w:t>Water Framework Directive (WFD)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F3F3CD" w14:textId="77777777" w:rsidR="003B7C94" w:rsidRPr="00A53847" w:rsidRDefault="003B7C94" w:rsidP="00955D4D">
            <w:pPr>
              <w:spacing w:after="0"/>
              <w:rPr>
                <w:rFonts w:cstheme="minorHAnsi"/>
                <w:bCs/>
                <w:sz w:val="20"/>
                <w:szCs w:val="20"/>
              </w:rPr>
            </w:pPr>
            <w:r>
              <w:rPr>
                <w:rFonts w:cstheme="minorHAnsi"/>
                <w:bCs/>
                <w:sz w:val="20"/>
                <w:szCs w:val="20"/>
              </w:rPr>
              <w:t>Dir 98/83/EC</w:t>
            </w:r>
          </w:p>
        </w:tc>
        <w:tc>
          <w:tcPr>
            <w:tcW w:w="1276" w:type="dxa"/>
            <w:tcBorders>
              <w:top w:val="single" w:sz="4" w:space="0" w:color="auto"/>
              <w:left w:val="single" w:sz="4" w:space="0" w:color="auto"/>
              <w:bottom w:val="single" w:sz="4" w:space="0" w:color="auto"/>
              <w:right w:val="single" w:sz="4" w:space="0" w:color="auto"/>
            </w:tcBorders>
            <w:vAlign w:val="center"/>
          </w:tcPr>
          <w:p w14:paraId="70DCFCE6"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68DF0674" w14:textId="77777777" w:rsidR="003B7C94" w:rsidRPr="00A53847" w:rsidRDefault="003B7C94" w:rsidP="00955D4D">
            <w:pPr>
              <w:spacing w:after="0"/>
              <w:jc w:val="center"/>
              <w:rPr>
                <w:rFonts w:cstheme="minorHAnsi"/>
                <w:bCs/>
                <w:sz w:val="20"/>
                <w:szCs w:val="20"/>
              </w:rPr>
            </w:pPr>
            <w:r>
              <w:rPr>
                <w:rFonts w:cstheme="minorHAnsi"/>
                <w:bCs/>
                <w:sz w:val="20"/>
                <w:szCs w:val="20"/>
              </w:rPr>
              <w:t>No testing</w:t>
            </w:r>
          </w:p>
        </w:tc>
        <w:tc>
          <w:tcPr>
            <w:tcW w:w="1559" w:type="dxa"/>
            <w:tcBorders>
              <w:top w:val="single" w:sz="4" w:space="0" w:color="auto"/>
              <w:left w:val="single" w:sz="4" w:space="0" w:color="auto"/>
              <w:bottom w:val="single" w:sz="4" w:space="0" w:color="auto"/>
              <w:right w:val="single" w:sz="4" w:space="0" w:color="auto"/>
            </w:tcBorders>
            <w:vAlign w:val="center"/>
          </w:tcPr>
          <w:p w14:paraId="4F077691"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6C5C7E20"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35F8F95" w14:textId="77777777" w:rsidR="003B7C94" w:rsidRPr="00A53847" w:rsidRDefault="003B7C94" w:rsidP="00955D4D">
            <w:pPr>
              <w:spacing w:after="0"/>
              <w:jc w:val="center"/>
              <w:rPr>
                <w:rFonts w:cstheme="minorHAnsi"/>
                <w:bCs/>
                <w:sz w:val="20"/>
                <w:szCs w:val="20"/>
              </w:rPr>
            </w:pPr>
            <w:r>
              <w:rPr>
                <w:rFonts w:cstheme="minorHAnsi"/>
                <w:bCs/>
                <w:sz w:val="20"/>
                <w:szCs w:val="20"/>
              </w:rPr>
              <w:t xml:space="preserve">Mentioned in Guidance, but not addressed in detail </w:t>
            </w:r>
          </w:p>
        </w:tc>
        <w:tc>
          <w:tcPr>
            <w:tcW w:w="1276" w:type="dxa"/>
            <w:tcBorders>
              <w:top w:val="single" w:sz="4" w:space="0" w:color="auto"/>
              <w:left w:val="single" w:sz="4" w:space="0" w:color="auto"/>
              <w:bottom w:val="single" w:sz="4" w:space="0" w:color="auto"/>
              <w:right w:val="single" w:sz="4" w:space="0" w:color="auto"/>
            </w:tcBorders>
            <w:vAlign w:val="center"/>
          </w:tcPr>
          <w:p w14:paraId="741407A4" w14:textId="77777777" w:rsidR="003B7C94" w:rsidRPr="00A53847" w:rsidRDefault="003B7C94" w:rsidP="00955D4D">
            <w:pPr>
              <w:spacing w:after="0"/>
              <w:jc w:val="center"/>
              <w:rPr>
                <w:rFonts w:cstheme="minorHAnsi"/>
                <w:bCs/>
                <w:sz w:val="20"/>
                <w:szCs w:val="20"/>
              </w:rPr>
            </w:pPr>
            <w:r w:rsidRPr="00CE1C30">
              <w:rPr>
                <w:rFonts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14:paraId="3F76077A"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r>
      <w:tr w:rsidR="003B7C94" w:rsidRPr="00263308" w14:paraId="23F89D81"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F9BBE9" w14:textId="77777777" w:rsidR="003B7C94" w:rsidRPr="00A53847" w:rsidRDefault="003B7C94" w:rsidP="00955D4D">
            <w:pPr>
              <w:spacing w:after="0"/>
              <w:rPr>
                <w:rFonts w:cstheme="minorHAnsi"/>
                <w:bCs/>
                <w:sz w:val="20"/>
                <w:szCs w:val="20"/>
              </w:rPr>
            </w:pPr>
            <w:r w:rsidRPr="00A53847">
              <w:rPr>
                <w:rFonts w:cstheme="minorHAnsi"/>
                <w:bCs/>
                <w:sz w:val="20"/>
                <w:szCs w:val="20"/>
              </w:rPr>
              <w:t>Groundwater Directive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AAA673" w14:textId="77777777" w:rsidR="003B7C94" w:rsidRPr="00A53847" w:rsidRDefault="003B7C94" w:rsidP="00955D4D">
            <w:pPr>
              <w:spacing w:after="0"/>
              <w:rPr>
                <w:rFonts w:cstheme="minorHAnsi"/>
                <w:bCs/>
                <w:sz w:val="20"/>
                <w:szCs w:val="20"/>
              </w:rPr>
            </w:pPr>
            <w:r>
              <w:rPr>
                <w:rFonts w:cstheme="minorHAnsi"/>
                <w:bCs/>
                <w:sz w:val="20"/>
                <w:szCs w:val="20"/>
              </w:rPr>
              <w:t>Dir 2006/118/EC</w:t>
            </w:r>
          </w:p>
        </w:tc>
        <w:tc>
          <w:tcPr>
            <w:tcW w:w="1276" w:type="dxa"/>
            <w:tcBorders>
              <w:top w:val="single" w:sz="4" w:space="0" w:color="auto"/>
              <w:left w:val="single" w:sz="4" w:space="0" w:color="auto"/>
              <w:bottom w:val="single" w:sz="4" w:space="0" w:color="auto"/>
              <w:right w:val="single" w:sz="4" w:space="0" w:color="auto"/>
            </w:tcBorders>
            <w:vAlign w:val="center"/>
          </w:tcPr>
          <w:p w14:paraId="65C04438" w14:textId="77777777" w:rsidR="003B7C94" w:rsidRPr="00A53847" w:rsidRDefault="003B7C94" w:rsidP="00955D4D">
            <w:pPr>
              <w:spacing w:after="0"/>
              <w:jc w:val="center"/>
              <w:rPr>
                <w:rFonts w:cstheme="minorHAnsi"/>
                <w:bCs/>
                <w:sz w:val="20"/>
                <w:szCs w:val="20"/>
              </w:rPr>
            </w:pPr>
            <w:r>
              <w:rPr>
                <w:rFonts w:cstheme="minorHAnsi"/>
                <w:bCs/>
                <w:sz w:val="20"/>
                <w:szCs w:val="20"/>
              </w:rPr>
              <w:t>Yes, with reference to WFD</w:t>
            </w:r>
          </w:p>
        </w:tc>
        <w:tc>
          <w:tcPr>
            <w:tcW w:w="1559" w:type="dxa"/>
            <w:tcBorders>
              <w:top w:val="single" w:sz="4" w:space="0" w:color="auto"/>
              <w:left w:val="single" w:sz="4" w:space="0" w:color="auto"/>
              <w:bottom w:val="single" w:sz="4" w:space="0" w:color="auto"/>
              <w:right w:val="single" w:sz="4" w:space="0" w:color="auto"/>
            </w:tcBorders>
            <w:vAlign w:val="center"/>
          </w:tcPr>
          <w:p w14:paraId="1C060C43"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2F1119BE" w14:textId="77777777" w:rsidR="003B7C94" w:rsidRPr="00A53847" w:rsidRDefault="003B7C94" w:rsidP="00955D4D">
            <w:pPr>
              <w:spacing w:after="0"/>
              <w:rPr>
                <w:rFonts w:cstheme="minorHAnsi"/>
                <w:bCs/>
                <w:sz w:val="20"/>
                <w:szCs w:val="20"/>
              </w:rPr>
            </w:pPr>
            <w:r>
              <w:rPr>
                <w:rFonts w:cstheme="minorHAnsi"/>
                <w:bCs/>
                <w:sz w:val="20"/>
                <w:szCs w:val="20"/>
              </w:rPr>
              <w:t xml:space="preserve">No RA, but contained additional </w:t>
            </w:r>
            <w:r>
              <w:rPr>
                <w:rFonts w:cstheme="minorHAnsi"/>
                <w:bCs/>
                <w:sz w:val="20"/>
                <w:szCs w:val="20"/>
              </w:rPr>
              <w:lastRenderedPageBreak/>
              <w:t>threshold value for pesticides and nitrates</w:t>
            </w:r>
          </w:p>
        </w:tc>
        <w:tc>
          <w:tcPr>
            <w:tcW w:w="1559" w:type="dxa"/>
            <w:tcBorders>
              <w:top w:val="single" w:sz="4" w:space="0" w:color="auto"/>
              <w:left w:val="single" w:sz="4" w:space="0" w:color="auto"/>
              <w:bottom w:val="single" w:sz="4" w:space="0" w:color="auto"/>
              <w:right w:val="single" w:sz="4" w:space="0" w:color="auto"/>
            </w:tcBorders>
            <w:vAlign w:val="center"/>
          </w:tcPr>
          <w:p w14:paraId="3E1558BA" w14:textId="77777777" w:rsidR="003B7C94" w:rsidRPr="00A53847" w:rsidRDefault="003B7C94" w:rsidP="00955D4D">
            <w:pPr>
              <w:spacing w:after="0"/>
              <w:jc w:val="center"/>
              <w:rPr>
                <w:rFonts w:cstheme="minorHAnsi"/>
                <w:bCs/>
                <w:sz w:val="20"/>
                <w:szCs w:val="20"/>
              </w:rPr>
            </w:pPr>
            <w:r>
              <w:rPr>
                <w:rFonts w:cstheme="minorHAnsi"/>
                <w:bCs/>
                <w:sz w:val="20"/>
                <w:szCs w:val="20"/>
              </w:rPr>
              <w:lastRenderedPageBreak/>
              <w:t>No</w:t>
            </w:r>
          </w:p>
        </w:tc>
        <w:tc>
          <w:tcPr>
            <w:tcW w:w="1560" w:type="dxa"/>
            <w:tcBorders>
              <w:top w:val="single" w:sz="4" w:space="0" w:color="auto"/>
              <w:left w:val="single" w:sz="4" w:space="0" w:color="auto"/>
              <w:bottom w:val="single" w:sz="4" w:space="0" w:color="auto"/>
              <w:right w:val="single" w:sz="4" w:space="0" w:color="auto"/>
            </w:tcBorders>
            <w:vAlign w:val="center"/>
          </w:tcPr>
          <w:p w14:paraId="53F9B514" w14:textId="77777777" w:rsidR="003B7C94" w:rsidRPr="00A53847" w:rsidRDefault="003B7C94" w:rsidP="00955D4D">
            <w:pPr>
              <w:spacing w:after="0"/>
              <w:jc w:val="center"/>
              <w:rPr>
                <w:rFonts w:cstheme="minorHAnsi"/>
                <w:bCs/>
                <w:sz w:val="20"/>
                <w:szCs w:val="20"/>
              </w:rPr>
            </w:pPr>
            <w:r>
              <w:rPr>
                <w:rFonts w:cstheme="minorHAnsi"/>
                <w:bCs/>
                <w:sz w:val="20"/>
                <w:szCs w:val="20"/>
              </w:rPr>
              <w:t xml:space="preserve">No </w:t>
            </w:r>
          </w:p>
        </w:tc>
        <w:tc>
          <w:tcPr>
            <w:tcW w:w="1559" w:type="dxa"/>
            <w:tcBorders>
              <w:top w:val="single" w:sz="4" w:space="0" w:color="auto"/>
              <w:left w:val="single" w:sz="4" w:space="0" w:color="auto"/>
              <w:bottom w:val="single" w:sz="4" w:space="0" w:color="auto"/>
              <w:right w:val="single" w:sz="4" w:space="0" w:color="auto"/>
            </w:tcBorders>
            <w:vAlign w:val="center"/>
          </w:tcPr>
          <w:p w14:paraId="2DA4B47B"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22ACA1F6" w14:textId="77777777" w:rsidR="003B7C94" w:rsidRPr="00A53847" w:rsidRDefault="003B7C94" w:rsidP="00955D4D">
            <w:pPr>
              <w:spacing w:after="0"/>
              <w:jc w:val="center"/>
              <w:rPr>
                <w:rFonts w:cstheme="minorHAnsi"/>
                <w:bCs/>
                <w:sz w:val="20"/>
                <w:szCs w:val="20"/>
              </w:rPr>
            </w:pPr>
            <w:r w:rsidRPr="00CE1C30">
              <w:rPr>
                <w:rFonts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14:paraId="53CE1496" w14:textId="77777777" w:rsidR="003B7C94" w:rsidRPr="00A53847" w:rsidRDefault="003B7C94" w:rsidP="00955D4D">
            <w:pPr>
              <w:spacing w:after="0"/>
              <w:jc w:val="center"/>
              <w:rPr>
                <w:rFonts w:cstheme="minorHAnsi"/>
                <w:bCs/>
                <w:sz w:val="20"/>
                <w:szCs w:val="20"/>
              </w:rPr>
            </w:pPr>
            <w:r w:rsidRPr="003009C8">
              <w:rPr>
                <w:rFonts w:cstheme="minorHAnsi"/>
                <w:bCs/>
                <w:sz w:val="20"/>
                <w:szCs w:val="20"/>
              </w:rPr>
              <w:t>No</w:t>
            </w:r>
          </w:p>
        </w:tc>
      </w:tr>
      <w:tr w:rsidR="003B7C94" w:rsidRPr="00263308" w14:paraId="356A446F"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BF1DA1" w14:textId="77777777" w:rsidR="003B7C94" w:rsidRPr="00A53847" w:rsidRDefault="003B7C94" w:rsidP="00955D4D">
            <w:pPr>
              <w:spacing w:after="0"/>
              <w:rPr>
                <w:rFonts w:cstheme="minorHAnsi"/>
                <w:bCs/>
                <w:sz w:val="20"/>
                <w:szCs w:val="20"/>
              </w:rPr>
            </w:pPr>
            <w:r w:rsidRPr="00A53847">
              <w:rPr>
                <w:rFonts w:cstheme="minorHAnsi"/>
                <w:bCs/>
                <w:sz w:val="20"/>
                <w:szCs w:val="20"/>
              </w:rPr>
              <w:t xml:space="preserve">EQS Directive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07312" w14:textId="77777777" w:rsidR="003B7C94" w:rsidRPr="00A53847" w:rsidRDefault="003B7C94" w:rsidP="00955D4D">
            <w:pPr>
              <w:spacing w:after="0"/>
              <w:rPr>
                <w:rFonts w:cstheme="minorHAnsi"/>
                <w:bCs/>
                <w:sz w:val="20"/>
                <w:szCs w:val="20"/>
              </w:rPr>
            </w:pPr>
            <w:r>
              <w:rPr>
                <w:rFonts w:cstheme="minorHAnsi"/>
                <w:bCs/>
                <w:sz w:val="20"/>
                <w:szCs w:val="20"/>
              </w:rPr>
              <w:t>Dir 2013/39/EU</w:t>
            </w:r>
          </w:p>
        </w:tc>
        <w:tc>
          <w:tcPr>
            <w:tcW w:w="1276" w:type="dxa"/>
            <w:tcBorders>
              <w:top w:val="single" w:sz="4" w:space="0" w:color="auto"/>
              <w:left w:val="single" w:sz="4" w:space="0" w:color="auto"/>
              <w:bottom w:val="single" w:sz="4" w:space="0" w:color="auto"/>
              <w:right w:val="single" w:sz="4" w:space="0" w:color="auto"/>
            </w:tcBorders>
            <w:vAlign w:val="center"/>
          </w:tcPr>
          <w:p w14:paraId="2EAB3B41"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7A0CEB8D"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5CB5703D"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379FC348" w14:textId="77777777" w:rsidR="003B7C94" w:rsidRPr="00A53847" w:rsidRDefault="003B7C94" w:rsidP="00955D4D">
            <w:pPr>
              <w:spacing w:after="0"/>
              <w:rPr>
                <w:rFonts w:cstheme="minorHAnsi"/>
                <w:bCs/>
                <w:sz w:val="20"/>
                <w:szCs w:val="20"/>
              </w:rPr>
            </w:pPr>
            <w:r>
              <w:rPr>
                <w:rFonts w:cstheme="minorHAnsi"/>
                <w:bCs/>
                <w:sz w:val="20"/>
                <w:szCs w:val="20"/>
              </w:rPr>
              <w:t>No RA, but QS are derived from ERA studies</w:t>
            </w:r>
          </w:p>
        </w:tc>
        <w:tc>
          <w:tcPr>
            <w:tcW w:w="1560" w:type="dxa"/>
            <w:tcBorders>
              <w:top w:val="single" w:sz="4" w:space="0" w:color="auto"/>
              <w:left w:val="single" w:sz="4" w:space="0" w:color="auto"/>
              <w:bottom w:val="single" w:sz="4" w:space="0" w:color="auto"/>
              <w:right w:val="single" w:sz="4" w:space="0" w:color="auto"/>
            </w:tcBorders>
            <w:vAlign w:val="center"/>
          </w:tcPr>
          <w:p w14:paraId="071362F2" w14:textId="77777777" w:rsidR="003B7C94" w:rsidRPr="00A53847" w:rsidRDefault="003B7C94" w:rsidP="00955D4D">
            <w:pPr>
              <w:spacing w:after="0"/>
              <w:jc w:val="center"/>
              <w:rPr>
                <w:rFonts w:cstheme="minorHAnsi"/>
                <w:bCs/>
                <w:sz w:val="20"/>
                <w:szCs w:val="20"/>
              </w:rPr>
            </w:pPr>
            <w:r>
              <w:rPr>
                <w:rFonts w:cstheme="minorHAnsi"/>
                <w:bCs/>
                <w:sz w:val="20"/>
                <w:szCs w:val="20"/>
              </w:rPr>
              <w:t xml:space="preserve">No </w:t>
            </w:r>
          </w:p>
        </w:tc>
        <w:tc>
          <w:tcPr>
            <w:tcW w:w="1559" w:type="dxa"/>
            <w:tcBorders>
              <w:top w:val="single" w:sz="4" w:space="0" w:color="auto"/>
              <w:left w:val="single" w:sz="4" w:space="0" w:color="auto"/>
              <w:bottom w:val="single" w:sz="4" w:space="0" w:color="auto"/>
              <w:right w:val="single" w:sz="4" w:space="0" w:color="auto"/>
            </w:tcBorders>
            <w:vAlign w:val="center"/>
          </w:tcPr>
          <w:p w14:paraId="0DC7A3D3"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276" w:type="dxa"/>
            <w:tcBorders>
              <w:top w:val="single" w:sz="4" w:space="0" w:color="auto"/>
              <w:left w:val="single" w:sz="4" w:space="0" w:color="auto"/>
              <w:bottom w:val="single" w:sz="4" w:space="0" w:color="auto"/>
              <w:right w:val="single" w:sz="4" w:space="0" w:color="auto"/>
            </w:tcBorders>
            <w:vAlign w:val="center"/>
          </w:tcPr>
          <w:p w14:paraId="3EE49B30" w14:textId="77777777" w:rsidR="003B7C94" w:rsidRPr="00A53847" w:rsidRDefault="003B7C94" w:rsidP="00955D4D">
            <w:pPr>
              <w:spacing w:after="0"/>
              <w:jc w:val="center"/>
              <w:rPr>
                <w:rFonts w:cstheme="minorHAnsi"/>
                <w:bCs/>
                <w:sz w:val="20"/>
                <w:szCs w:val="20"/>
              </w:rPr>
            </w:pPr>
            <w:r w:rsidRPr="00CE1C30">
              <w:rPr>
                <w:rFonts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14:paraId="6322497E" w14:textId="77777777" w:rsidR="003B7C94" w:rsidRPr="00A53847" w:rsidRDefault="003B7C94" w:rsidP="00955D4D">
            <w:pPr>
              <w:spacing w:after="0"/>
              <w:jc w:val="center"/>
              <w:rPr>
                <w:rFonts w:cstheme="minorHAnsi"/>
                <w:bCs/>
                <w:sz w:val="20"/>
                <w:szCs w:val="20"/>
              </w:rPr>
            </w:pPr>
            <w:r w:rsidRPr="003009C8">
              <w:rPr>
                <w:rFonts w:cstheme="minorHAnsi"/>
                <w:bCs/>
                <w:sz w:val="20"/>
                <w:szCs w:val="20"/>
              </w:rPr>
              <w:t>No</w:t>
            </w:r>
          </w:p>
        </w:tc>
      </w:tr>
      <w:tr w:rsidR="003B7C94" w:rsidRPr="00263308" w14:paraId="2B3C0B30"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D0321C" w14:textId="77777777" w:rsidR="003B7C94" w:rsidRPr="00A53847" w:rsidRDefault="003B7C94" w:rsidP="00955D4D">
            <w:pPr>
              <w:spacing w:after="0"/>
              <w:rPr>
                <w:rFonts w:cstheme="minorHAnsi"/>
                <w:bCs/>
                <w:sz w:val="20"/>
                <w:szCs w:val="20"/>
              </w:rPr>
            </w:pPr>
            <w:r w:rsidRPr="00A53847">
              <w:rPr>
                <w:rFonts w:cstheme="minorHAnsi"/>
                <w:bCs/>
                <w:sz w:val="20"/>
                <w:szCs w:val="20"/>
              </w:rPr>
              <w:t>Marine Strategy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1F4990" w14:textId="77777777" w:rsidR="003B7C94" w:rsidRPr="00A53847" w:rsidRDefault="003B7C94" w:rsidP="00955D4D">
            <w:pPr>
              <w:spacing w:after="0"/>
              <w:rPr>
                <w:rFonts w:cstheme="minorHAnsi"/>
                <w:bCs/>
                <w:sz w:val="20"/>
                <w:szCs w:val="20"/>
              </w:rPr>
            </w:pPr>
            <w:r>
              <w:rPr>
                <w:rFonts w:cstheme="minorHAnsi"/>
                <w:bCs/>
                <w:sz w:val="20"/>
                <w:szCs w:val="20"/>
              </w:rPr>
              <w:t>Dir 2008/56/EC</w:t>
            </w:r>
          </w:p>
        </w:tc>
        <w:tc>
          <w:tcPr>
            <w:tcW w:w="1276" w:type="dxa"/>
            <w:tcBorders>
              <w:top w:val="single" w:sz="4" w:space="0" w:color="auto"/>
              <w:left w:val="single" w:sz="4" w:space="0" w:color="auto"/>
              <w:bottom w:val="single" w:sz="4" w:space="0" w:color="auto"/>
              <w:right w:val="single" w:sz="4" w:space="0" w:color="auto"/>
            </w:tcBorders>
            <w:vAlign w:val="center"/>
          </w:tcPr>
          <w:p w14:paraId="29562102" w14:textId="77777777" w:rsidR="003B7C94" w:rsidRPr="00A53847" w:rsidRDefault="003B7C94" w:rsidP="00955D4D">
            <w:pPr>
              <w:spacing w:after="0"/>
              <w:jc w:val="center"/>
              <w:rPr>
                <w:rFonts w:cstheme="minorHAnsi"/>
                <w:bCs/>
                <w:sz w:val="20"/>
                <w:szCs w:val="20"/>
              </w:rPr>
            </w:pPr>
            <w:r>
              <w:rPr>
                <w:rFonts w:cstheme="minorHAnsi"/>
                <w:bCs/>
                <w:sz w:val="20"/>
                <w:szCs w:val="20"/>
              </w:rPr>
              <w:t>Yes, with reference to WFD</w:t>
            </w:r>
          </w:p>
        </w:tc>
        <w:tc>
          <w:tcPr>
            <w:tcW w:w="1559" w:type="dxa"/>
            <w:tcBorders>
              <w:top w:val="single" w:sz="4" w:space="0" w:color="auto"/>
              <w:left w:val="single" w:sz="4" w:space="0" w:color="auto"/>
              <w:bottom w:val="single" w:sz="4" w:space="0" w:color="auto"/>
              <w:right w:val="single" w:sz="4" w:space="0" w:color="auto"/>
            </w:tcBorders>
            <w:vAlign w:val="center"/>
          </w:tcPr>
          <w:p w14:paraId="683D21C4" w14:textId="77777777" w:rsidR="003B7C94" w:rsidRPr="00A53847" w:rsidRDefault="003B7C94" w:rsidP="00955D4D">
            <w:pPr>
              <w:spacing w:after="0"/>
              <w:jc w:val="center"/>
              <w:rPr>
                <w:rFonts w:cstheme="minorHAnsi"/>
                <w:bCs/>
                <w:sz w:val="20"/>
                <w:szCs w:val="20"/>
              </w:rPr>
            </w:pPr>
            <w:r>
              <w:rPr>
                <w:rFonts w:cstheme="minorHAnsi"/>
                <w:bCs/>
                <w:sz w:val="20"/>
                <w:szCs w:val="20"/>
              </w:rPr>
              <w:t>No testing</w:t>
            </w:r>
          </w:p>
        </w:tc>
        <w:tc>
          <w:tcPr>
            <w:tcW w:w="1559" w:type="dxa"/>
            <w:tcBorders>
              <w:top w:val="single" w:sz="4" w:space="0" w:color="auto"/>
              <w:left w:val="single" w:sz="4" w:space="0" w:color="auto"/>
              <w:bottom w:val="single" w:sz="4" w:space="0" w:color="auto"/>
              <w:right w:val="single" w:sz="4" w:space="0" w:color="auto"/>
            </w:tcBorders>
            <w:vAlign w:val="center"/>
          </w:tcPr>
          <w:p w14:paraId="0C454674"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58AC9958"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7083B090"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07197E3A"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780C188F" w14:textId="77777777" w:rsidR="003B7C94" w:rsidRPr="00A53847" w:rsidRDefault="003B7C94" w:rsidP="00955D4D">
            <w:pPr>
              <w:spacing w:after="0"/>
              <w:jc w:val="center"/>
              <w:rPr>
                <w:rFonts w:cstheme="minorHAnsi"/>
                <w:bCs/>
                <w:sz w:val="20"/>
                <w:szCs w:val="20"/>
              </w:rPr>
            </w:pPr>
            <w:r w:rsidRPr="00E77F62">
              <w:rPr>
                <w:rFonts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14:paraId="03172D93" w14:textId="77777777" w:rsidR="003B7C94" w:rsidRPr="00A53847" w:rsidRDefault="003B7C94" w:rsidP="00955D4D">
            <w:pPr>
              <w:spacing w:after="0"/>
              <w:jc w:val="center"/>
              <w:rPr>
                <w:rFonts w:cstheme="minorHAnsi"/>
                <w:bCs/>
                <w:sz w:val="20"/>
                <w:szCs w:val="20"/>
              </w:rPr>
            </w:pPr>
            <w:r w:rsidRPr="003009C8">
              <w:rPr>
                <w:rFonts w:cstheme="minorHAnsi"/>
                <w:bCs/>
                <w:sz w:val="20"/>
                <w:szCs w:val="20"/>
              </w:rPr>
              <w:t>No</w:t>
            </w:r>
          </w:p>
        </w:tc>
      </w:tr>
      <w:tr w:rsidR="003B7C94" w:rsidRPr="00263308" w14:paraId="1678AF74"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85FF6A" w14:textId="77777777" w:rsidR="003B7C94" w:rsidRPr="00A53847" w:rsidRDefault="003B7C94" w:rsidP="00955D4D">
            <w:pPr>
              <w:spacing w:after="0"/>
              <w:rPr>
                <w:rFonts w:cstheme="minorHAnsi"/>
                <w:bCs/>
                <w:sz w:val="20"/>
                <w:szCs w:val="20"/>
              </w:rPr>
            </w:pPr>
            <w:r w:rsidRPr="00A53847">
              <w:rPr>
                <w:rFonts w:cstheme="minorHAnsi"/>
                <w:bCs/>
                <w:sz w:val="20"/>
                <w:szCs w:val="20"/>
              </w:rPr>
              <w:t>Drinking Water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A46138" w14:textId="77777777" w:rsidR="003B7C94" w:rsidRPr="00A53847" w:rsidRDefault="003B7C94" w:rsidP="00955D4D">
            <w:pPr>
              <w:spacing w:after="0"/>
              <w:rPr>
                <w:rFonts w:cstheme="minorHAnsi"/>
                <w:bCs/>
                <w:sz w:val="20"/>
                <w:szCs w:val="20"/>
              </w:rPr>
            </w:pPr>
            <w:r>
              <w:rPr>
                <w:rFonts w:cstheme="minorHAnsi"/>
                <w:bCs/>
                <w:sz w:val="20"/>
                <w:szCs w:val="20"/>
              </w:rPr>
              <w:t>Dir 98/83/EU</w:t>
            </w:r>
          </w:p>
        </w:tc>
        <w:tc>
          <w:tcPr>
            <w:tcW w:w="1276" w:type="dxa"/>
            <w:tcBorders>
              <w:top w:val="single" w:sz="4" w:space="0" w:color="auto"/>
              <w:left w:val="single" w:sz="4" w:space="0" w:color="auto"/>
              <w:bottom w:val="single" w:sz="4" w:space="0" w:color="auto"/>
              <w:right w:val="single" w:sz="4" w:space="0" w:color="auto"/>
            </w:tcBorders>
            <w:vAlign w:val="center"/>
          </w:tcPr>
          <w:p w14:paraId="113287C6"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5A8F7605" w14:textId="77777777" w:rsidR="003B7C94" w:rsidRPr="00A53847" w:rsidRDefault="003B7C94" w:rsidP="00955D4D">
            <w:pPr>
              <w:spacing w:after="0"/>
              <w:jc w:val="center"/>
              <w:rPr>
                <w:rFonts w:cstheme="minorHAnsi"/>
                <w:bCs/>
                <w:sz w:val="20"/>
                <w:szCs w:val="20"/>
              </w:rPr>
            </w:pPr>
            <w:r>
              <w:rPr>
                <w:rFonts w:cstheme="minorHAnsi"/>
                <w:bCs/>
                <w:sz w:val="20"/>
                <w:szCs w:val="20"/>
              </w:rPr>
              <w:t>No testing</w:t>
            </w:r>
          </w:p>
        </w:tc>
        <w:tc>
          <w:tcPr>
            <w:tcW w:w="1559" w:type="dxa"/>
            <w:tcBorders>
              <w:top w:val="single" w:sz="4" w:space="0" w:color="auto"/>
              <w:left w:val="single" w:sz="4" w:space="0" w:color="auto"/>
              <w:bottom w:val="single" w:sz="4" w:space="0" w:color="auto"/>
              <w:right w:val="single" w:sz="4" w:space="0" w:color="auto"/>
            </w:tcBorders>
            <w:vAlign w:val="center"/>
          </w:tcPr>
          <w:p w14:paraId="4CAF7568" w14:textId="77777777" w:rsidR="003B7C94" w:rsidRPr="00A53847" w:rsidRDefault="003B7C94" w:rsidP="00955D4D">
            <w:pPr>
              <w:spacing w:after="0"/>
              <w:rPr>
                <w:rFonts w:cstheme="minorHAnsi"/>
                <w:bCs/>
                <w:sz w:val="20"/>
                <w:szCs w:val="20"/>
              </w:rPr>
            </w:pPr>
            <w:r>
              <w:rPr>
                <w:rFonts w:cstheme="minorHAnsi"/>
                <w:bCs/>
                <w:sz w:val="20"/>
                <w:szCs w:val="20"/>
              </w:rPr>
              <w:t xml:space="preserve">No RA, but parametric values should be based on a RA method </w:t>
            </w:r>
          </w:p>
        </w:tc>
        <w:tc>
          <w:tcPr>
            <w:tcW w:w="1559" w:type="dxa"/>
            <w:tcBorders>
              <w:top w:val="single" w:sz="4" w:space="0" w:color="auto"/>
              <w:left w:val="single" w:sz="4" w:space="0" w:color="auto"/>
              <w:bottom w:val="single" w:sz="4" w:space="0" w:color="auto"/>
              <w:right w:val="single" w:sz="4" w:space="0" w:color="auto"/>
            </w:tcBorders>
            <w:vAlign w:val="center"/>
          </w:tcPr>
          <w:p w14:paraId="0237FD96"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60" w:type="dxa"/>
            <w:tcBorders>
              <w:top w:val="single" w:sz="4" w:space="0" w:color="auto"/>
              <w:left w:val="single" w:sz="4" w:space="0" w:color="auto"/>
              <w:bottom w:val="single" w:sz="4" w:space="0" w:color="auto"/>
              <w:right w:val="single" w:sz="4" w:space="0" w:color="auto"/>
            </w:tcBorders>
            <w:vAlign w:val="center"/>
          </w:tcPr>
          <w:p w14:paraId="39081F10"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079C6BCE" w14:textId="77777777" w:rsidR="003B7C94" w:rsidRPr="00A53847" w:rsidRDefault="003B7C94" w:rsidP="00955D4D">
            <w:pPr>
              <w:spacing w:after="0"/>
              <w:jc w:val="center"/>
              <w:rPr>
                <w:rFonts w:cstheme="minorHAnsi"/>
                <w:bCs/>
                <w:sz w:val="20"/>
                <w:szCs w:val="20"/>
              </w:rPr>
            </w:pPr>
            <w:r>
              <w:rPr>
                <w:rFonts w:cstheme="minorHAnsi"/>
                <w:bCs/>
                <w:sz w:val="20"/>
                <w:szCs w:val="20"/>
              </w:rPr>
              <w:t xml:space="preserve">No </w:t>
            </w:r>
          </w:p>
        </w:tc>
        <w:tc>
          <w:tcPr>
            <w:tcW w:w="1276" w:type="dxa"/>
            <w:tcBorders>
              <w:top w:val="single" w:sz="4" w:space="0" w:color="auto"/>
              <w:left w:val="single" w:sz="4" w:space="0" w:color="auto"/>
              <w:bottom w:val="single" w:sz="4" w:space="0" w:color="auto"/>
              <w:right w:val="single" w:sz="4" w:space="0" w:color="auto"/>
            </w:tcBorders>
            <w:vAlign w:val="center"/>
          </w:tcPr>
          <w:p w14:paraId="16E070CA" w14:textId="77777777" w:rsidR="003B7C94" w:rsidRPr="00A53847" w:rsidRDefault="003B7C94" w:rsidP="00955D4D">
            <w:pPr>
              <w:spacing w:after="0"/>
              <w:jc w:val="center"/>
              <w:rPr>
                <w:rFonts w:cstheme="minorHAnsi"/>
                <w:bCs/>
                <w:sz w:val="20"/>
                <w:szCs w:val="20"/>
              </w:rPr>
            </w:pPr>
            <w:r w:rsidRPr="00E77F62">
              <w:rPr>
                <w:rFonts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14:paraId="3B53BCA4" w14:textId="77777777" w:rsidR="003B7C94" w:rsidRPr="00A53847" w:rsidRDefault="003B7C94" w:rsidP="00955D4D">
            <w:pPr>
              <w:spacing w:after="0"/>
              <w:jc w:val="center"/>
              <w:rPr>
                <w:rFonts w:cstheme="minorHAnsi"/>
                <w:bCs/>
                <w:sz w:val="20"/>
                <w:szCs w:val="20"/>
              </w:rPr>
            </w:pPr>
            <w:r w:rsidRPr="003009C8">
              <w:rPr>
                <w:rFonts w:cstheme="minorHAnsi"/>
                <w:bCs/>
                <w:sz w:val="20"/>
                <w:szCs w:val="20"/>
              </w:rPr>
              <w:t>No</w:t>
            </w:r>
          </w:p>
        </w:tc>
      </w:tr>
      <w:tr w:rsidR="003B7C94" w:rsidRPr="00263308" w14:paraId="7863619E"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EFC0BF" w14:textId="77777777" w:rsidR="003B7C94" w:rsidRPr="00A53847" w:rsidRDefault="003B7C94" w:rsidP="00955D4D">
            <w:pPr>
              <w:spacing w:after="0"/>
              <w:rPr>
                <w:rFonts w:cstheme="minorHAnsi"/>
                <w:bCs/>
                <w:sz w:val="20"/>
                <w:szCs w:val="20"/>
              </w:rPr>
            </w:pPr>
            <w:r w:rsidRPr="00A53847">
              <w:rPr>
                <w:rFonts w:cstheme="minorHAnsi"/>
                <w:bCs/>
                <w:sz w:val="20"/>
                <w:szCs w:val="20"/>
              </w:rPr>
              <w:t>Soil thematic strategy - Soil framework directive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C21D6E" w14:textId="77777777" w:rsidR="003B7C94" w:rsidRPr="00A53847" w:rsidRDefault="003B7C94" w:rsidP="00955D4D">
            <w:pPr>
              <w:spacing w:after="0"/>
              <w:rPr>
                <w:rFonts w:cstheme="minorHAnsi"/>
                <w:bCs/>
                <w:sz w:val="20"/>
                <w:szCs w:val="20"/>
              </w:rPr>
            </w:pPr>
            <w:r>
              <w:rPr>
                <w:rFonts w:cstheme="minorHAnsi"/>
                <w:bCs/>
                <w:sz w:val="20"/>
                <w:szCs w:val="20"/>
              </w:rPr>
              <w:t>COM(2006) 231  / COM(2006) 232 final, 2006/0086  (COD)</w:t>
            </w:r>
          </w:p>
        </w:tc>
        <w:tc>
          <w:tcPr>
            <w:tcW w:w="1276" w:type="dxa"/>
            <w:tcBorders>
              <w:top w:val="single" w:sz="4" w:space="0" w:color="auto"/>
              <w:left w:val="single" w:sz="4" w:space="0" w:color="auto"/>
              <w:bottom w:val="single" w:sz="4" w:space="0" w:color="auto"/>
              <w:right w:val="single" w:sz="4" w:space="0" w:color="auto"/>
            </w:tcBorders>
            <w:vAlign w:val="center"/>
          </w:tcPr>
          <w:p w14:paraId="37EFC7B9"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04CDD7FB"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67E36E81"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1B133F28"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4C6A9169" w14:textId="77777777" w:rsidR="003B7C94" w:rsidRPr="00A53847" w:rsidRDefault="003B7C94" w:rsidP="00955D4D">
            <w:pPr>
              <w:spacing w:after="0"/>
              <w:jc w:val="center"/>
              <w:rPr>
                <w:rFonts w:cstheme="minorHAnsi"/>
                <w:bCs/>
                <w:sz w:val="20"/>
                <w:szCs w:val="20"/>
              </w:rPr>
            </w:pPr>
            <w:r>
              <w:rPr>
                <w:rFonts w:cstheme="minorHAnsi"/>
                <w:bCs/>
                <w:sz w:val="20"/>
                <w:szCs w:val="20"/>
              </w:rPr>
              <w:t xml:space="preserve">No </w:t>
            </w:r>
          </w:p>
        </w:tc>
        <w:tc>
          <w:tcPr>
            <w:tcW w:w="1559" w:type="dxa"/>
            <w:tcBorders>
              <w:top w:val="single" w:sz="4" w:space="0" w:color="auto"/>
              <w:left w:val="single" w:sz="4" w:space="0" w:color="auto"/>
              <w:bottom w:val="single" w:sz="4" w:space="0" w:color="auto"/>
              <w:right w:val="single" w:sz="4" w:space="0" w:color="auto"/>
            </w:tcBorders>
            <w:vAlign w:val="center"/>
          </w:tcPr>
          <w:p w14:paraId="2F59459B"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0ED02AB2" w14:textId="77777777" w:rsidR="003B7C94" w:rsidRPr="00A53847" w:rsidRDefault="003B7C94" w:rsidP="00955D4D">
            <w:pPr>
              <w:spacing w:after="0"/>
              <w:jc w:val="center"/>
              <w:rPr>
                <w:rFonts w:cstheme="minorHAnsi"/>
                <w:bCs/>
                <w:sz w:val="20"/>
                <w:szCs w:val="20"/>
              </w:rPr>
            </w:pPr>
            <w:r w:rsidRPr="00E77F62">
              <w:rPr>
                <w:rFonts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14:paraId="6302AAE8"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r>
      <w:tr w:rsidR="003B7C94" w:rsidRPr="00263308" w14:paraId="4F25A89B"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A4D45A" w14:textId="77777777" w:rsidR="003B7C94" w:rsidRPr="00A53847" w:rsidRDefault="003B7C94" w:rsidP="00955D4D">
            <w:pPr>
              <w:spacing w:after="0"/>
              <w:rPr>
                <w:rFonts w:cstheme="minorHAnsi"/>
                <w:bCs/>
                <w:sz w:val="20"/>
                <w:szCs w:val="20"/>
              </w:rPr>
            </w:pPr>
            <w:r w:rsidRPr="00A53847">
              <w:rPr>
                <w:rFonts w:cstheme="minorHAnsi"/>
                <w:bCs/>
                <w:sz w:val="20"/>
                <w:szCs w:val="20"/>
              </w:rPr>
              <w:t>Ambient Air quality and cleaner air for Europe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732E2E" w14:textId="77777777" w:rsidR="003B7C94" w:rsidRPr="00A53847" w:rsidRDefault="003B7C94" w:rsidP="00955D4D">
            <w:pPr>
              <w:spacing w:after="0"/>
              <w:rPr>
                <w:rFonts w:cstheme="minorHAnsi"/>
                <w:bCs/>
                <w:sz w:val="20"/>
                <w:szCs w:val="20"/>
              </w:rPr>
            </w:pPr>
            <w:r>
              <w:rPr>
                <w:rFonts w:cstheme="minorHAnsi"/>
                <w:bCs/>
                <w:sz w:val="20"/>
                <w:szCs w:val="20"/>
              </w:rPr>
              <w:t>Dir 2008/50/EC</w:t>
            </w:r>
          </w:p>
        </w:tc>
        <w:tc>
          <w:tcPr>
            <w:tcW w:w="1276" w:type="dxa"/>
            <w:tcBorders>
              <w:top w:val="single" w:sz="4" w:space="0" w:color="auto"/>
              <w:left w:val="single" w:sz="4" w:space="0" w:color="auto"/>
              <w:bottom w:val="single" w:sz="4" w:space="0" w:color="auto"/>
              <w:right w:val="single" w:sz="4" w:space="0" w:color="auto"/>
            </w:tcBorders>
            <w:vAlign w:val="center"/>
          </w:tcPr>
          <w:p w14:paraId="42BF5801"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419FE82B" w14:textId="77777777" w:rsidR="003B7C94" w:rsidRPr="00A53847" w:rsidRDefault="003B7C94" w:rsidP="00955D4D">
            <w:pPr>
              <w:spacing w:after="0"/>
              <w:jc w:val="center"/>
              <w:rPr>
                <w:rFonts w:cstheme="minorHAnsi"/>
                <w:bCs/>
                <w:sz w:val="20"/>
                <w:szCs w:val="20"/>
              </w:rPr>
            </w:pPr>
            <w:r>
              <w:rPr>
                <w:rFonts w:cstheme="minorHAnsi"/>
                <w:bCs/>
                <w:sz w:val="20"/>
                <w:szCs w:val="20"/>
              </w:rPr>
              <w:t>No testing</w:t>
            </w:r>
          </w:p>
        </w:tc>
        <w:tc>
          <w:tcPr>
            <w:tcW w:w="1559" w:type="dxa"/>
            <w:tcBorders>
              <w:top w:val="single" w:sz="4" w:space="0" w:color="auto"/>
              <w:left w:val="single" w:sz="4" w:space="0" w:color="auto"/>
              <w:bottom w:val="single" w:sz="4" w:space="0" w:color="auto"/>
              <w:right w:val="single" w:sz="4" w:space="0" w:color="auto"/>
            </w:tcBorders>
            <w:vAlign w:val="center"/>
          </w:tcPr>
          <w:p w14:paraId="2E9A903D" w14:textId="77777777" w:rsidR="003B7C94" w:rsidRPr="00A53847" w:rsidRDefault="003B7C94" w:rsidP="00955D4D">
            <w:pPr>
              <w:spacing w:after="0"/>
              <w:jc w:val="center"/>
              <w:rPr>
                <w:rFonts w:cstheme="minorHAnsi"/>
                <w:bCs/>
                <w:sz w:val="20"/>
                <w:szCs w:val="20"/>
              </w:rPr>
            </w:pPr>
            <w:r>
              <w:rPr>
                <w:rFonts w:cstheme="minorHAnsi"/>
                <w:bCs/>
                <w:sz w:val="20"/>
                <w:szCs w:val="20"/>
              </w:rPr>
              <w:t xml:space="preserve">Yes </w:t>
            </w:r>
          </w:p>
        </w:tc>
        <w:tc>
          <w:tcPr>
            <w:tcW w:w="1559" w:type="dxa"/>
            <w:tcBorders>
              <w:top w:val="single" w:sz="4" w:space="0" w:color="auto"/>
              <w:left w:val="single" w:sz="4" w:space="0" w:color="auto"/>
              <w:bottom w:val="single" w:sz="4" w:space="0" w:color="auto"/>
              <w:right w:val="single" w:sz="4" w:space="0" w:color="auto"/>
            </w:tcBorders>
            <w:vAlign w:val="center"/>
          </w:tcPr>
          <w:p w14:paraId="7A9C4D19" w14:textId="77777777" w:rsidR="003B7C94" w:rsidRPr="00A53847" w:rsidRDefault="003B7C94" w:rsidP="00955D4D">
            <w:pPr>
              <w:spacing w:after="0"/>
              <w:jc w:val="center"/>
              <w:rPr>
                <w:rFonts w:cstheme="minorHAnsi"/>
                <w:bCs/>
                <w:sz w:val="20"/>
                <w:szCs w:val="20"/>
              </w:rPr>
            </w:pPr>
            <w:r>
              <w:rPr>
                <w:rFonts w:cstheme="minorHAnsi"/>
                <w:bCs/>
                <w:sz w:val="20"/>
                <w:szCs w:val="20"/>
              </w:rPr>
              <w:t xml:space="preserve">Partly </w:t>
            </w:r>
          </w:p>
        </w:tc>
        <w:tc>
          <w:tcPr>
            <w:tcW w:w="1560" w:type="dxa"/>
            <w:tcBorders>
              <w:top w:val="single" w:sz="4" w:space="0" w:color="auto"/>
              <w:left w:val="single" w:sz="4" w:space="0" w:color="auto"/>
              <w:bottom w:val="single" w:sz="4" w:space="0" w:color="auto"/>
              <w:right w:val="single" w:sz="4" w:space="0" w:color="auto"/>
            </w:tcBorders>
            <w:vAlign w:val="center"/>
          </w:tcPr>
          <w:p w14:paraId="5946A939"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06D6D457"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7A9CBEE8" w14:textId="77777777" w:rsidR="003B7C94" w:rsidRPr="00A53847" w:rsidRDefault="003B7C94" w:rsidP="00955D4D">
            <w:pPr>
              <w:spacing w:after="0"/>
              <w:jc w:val="center"/>
              <w:rPr>
                <w:rFonts w:cstheme="minorHAnsi"/>
                <w:bCs/>
                <w:sz w:val="20"/>
                <w:szCs w:val="20"/>
              </w:rPr>
            </w:pPr>
            <w:r w:rsidRPr="00E77F62">
              <w:rPr>
                <w:rFonts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14:paraId="6A54B80D"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r>
      <w:tr w:rsidR="003B7C94" w:rsidRPr="00263308" w14:paraId="5C12D918"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C232FF" w14:textId="77777777" w:rsidR="003B7C94" w:rsidRPr="00A53847" w:rsidRDefault="003B7C94" w:rsidP="00955D4D">
            <w:pPr>
              <w:spacing w:after="0"/>
              <w:rPr>
                <w:rFonts w:cstheme="minorHAnsi"/>
                <w:bCs/>
                <w:sz w:val="20"/>
                <w:szCs w:val="20"/>
              </w:rPr>
            </w:pPr>
            <w:r w:rsidRPr="00A53847">
              <w:rPr>
                <w:rFonts w:cstheme="minorHAnsi"/>
                <w:bCs/>
                <w:sz w:val="20"/>
                <w:szCs w:val="20"/>
              </w:rPr>
              <w:t>Food contact material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2B6809" w14:textId="77777777" w:rsidR="003B7C94" w:rsidRPr="00A53847" w:rsidRDefault="003B7C94" w:rsidP="00955D4D">
            <w:pPr>
              <w:spacing w:after="0"/>
              <w:rPr>
                <w:rFonts w:cstheme="minorHAnsi"/>
                <w:bCs/>
                <w:sz w:val="20"/>
                <w:szCs w:val="20"/>
              </w:rPr>
            </w:pPr>
            <w:r>
              <w:rPr>
                <w:rFonts w:cstheme="minorHAnsi"/>
                <w:bCs/>
                <w:sz w:val="20"/>
                <w:szCs w:val="20"/>
              </w:rPr>
              <w:t>Reg 1935/2004</w:t>
            </w:r>
          </w:p>
        </w:tc>
        <w:tc>
          <w:tcPr>
            <w:tcW w:w="1276" w:type="dxa"/>
            <w:tcBorders>
              <w:top w:val="single" w:sz="4" w:space="0" w:color="auto"/>
              <w:left w:val="single" w:sz="4" w:space="0" w:color="auto"/>
              <w:bottom w:val="single" w:sz="4" w:space="0" w:color="auto"/>
              <w:right w:val="single" w:sz="4" w:space="0" w:color="auto"/>
            </w:tcBorders>
            <w:vAlign w:val="center"/>
          </w:tcPr>
          <w:p w14:paraId="5F42DD6F"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2335E60F" w14:textId="77777777" w:rsidR="003B7C94" w:rsidRPr="00A53847" w:rsidRDefault="003B7C94" w:rsidP="00955D4D">
            <w:pPr>
              <w:spacing w:after="0"/>
              <w:jc w:val="center"/>
              <w:rPr>
                <w:rFonts w:cstheme="minorHAnsi"/>
                <w:bCs/>
                <w:sz w:val="20"/>
                <w:szCs w:val="20"/>
              </w:rPr>
            </w:pPr>
            <w:r>
              <w:rPr>
                <w:rFonts w:cstheme="minorHAnsi"/>
                <w:bCs/>
                <w:sz w:val="20"/>
                <w:szCs w:val="20"/>
              </w:rPr>
              <w:t>Not specified</w:t>
            </w:r>
          </w:p>
        </w:tc>
        <w:tc>
          <w:tcPr>
            <w:tcW w:w="1559" w:type="dxa"/>
            <w:tcBorders>
              <w:top w:val="single" w:sz="4" w:space="0" w:color="auto"/>
              <w:left w:val="single" w:sz="4" w:space="0" w:color="auto"/>
              <w:bottom w:val="single" w:sz="4" w:space="0" w:color="auto"/>
              <w:right w:val="single" w:sz="4" w:space="0" w:color="auto"/>
            </w:tcBorders>
            <w:vAlign w:val="center"/>
          </w:tcPr>
          <w:p w14:paraId="65C79527"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34B1F2DA"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60" w:type="dxa"/>
            <w:tcBorders>
              <w:top w:val="single" w:sz="4" w:space="0" w:color="auto"/>
              <w:left w:val="single" w:sz="4" w:space="0" w:color="auto"/>
              <w:bottom w:val="single" w:sz="4" w:space="0" w:color="auto"/>
              <w:right w:val="single" w:sz="4" w:space="0" w:color="auto"/>
            </w:tcBorders>
            <w:vAlign w:val="center"/>
          </w:tcPr>
          <w:p w14:paraId="29BE6E70"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099F7EFB"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46D710D1"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43ACED27"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r>
      <w:tr w:rsidR="003B7C94" w:rsidRPr="00263308" w14:paraId="2CADE84A" w14:textId="77777777" w:rsidTr="00955D4D">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1F4515" w14:textId="77777777" w:rsidR="003B7C94" w:rsidRPr="00A53847" w:rsidRDefault="003B7C94" w:rsidP="00955D4D">
            <w:pPr>
              <w:spacing w:after="0"/>
              <w:rPr>
                <w:rFonts w:cstheme="minorHAnsi"/>
                <w:bCs/>
                <w:sz w:val="20"/>
                <w:szCs w:val="20"/>
              </w:rPr>
            </w:pPr>
            <w:r w:rsidRPr="00A53847">
              <w:rPr>
                <w:rFonts w:cstheme="minorHAnsi"/>
                <w:bCs/>
                <w:sz w:val="20"/>
                <w:szCs w:val="20"/>
              </w:rPr>
              <w:t>Food contaminant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A2EE3" w14:textId="77777777" w:rsidR="003B7C94" w:rsidRPr="00A53847" w:rsidRDefault="003B7C94" w:rsidP="00955D4D">
            <w:pPr>
              <w:spacing w:after="0"/>
              <w:rPr>
                <w:rFonts w:cstheme="minorHAnsi"/>
                <w:bCs/>
                <w:sz w:val="20"/>
                <w:szCs w:val="20"/>
              </w:rPr>
            </w:pPr>
            <w:r>
              <w:rPr>
                <w:rFonts w:cstheme="minorHAnsi"/>
                <w:bCs/>
                <w:sz w:val="20"/>
                <w:szCs w:val="20"/>
              </w:rPr>
              <w:t>Reg 315/93/EEC</w:t>
            </w:r>
          </w:p>
        </w:tc>
        <w:tc>
          <w:tcPr>
            <w:tcW w:w="1276" w:type="dxa"/>
            <w:tcBorders>
              <w:top w:val="single" w:sz="4" w:space="0" w:color="auto"/>
              <w:left w:val="single" w:sz="4" w:space="0" w:color="auto"/>
              <w:bottom w:val="single" w:sz="4" w:space="0" w:color="auto"/>
              <w:right w:val="single" w:sz="4" w:space="0" w:color="auto"/>
            </w:tcBorders>
            <w:vAlign w:val="center"/>
          </w:tcPr>
          <w:p w14:paraId="27D5A8C3" w14:textId="77777777" w:rsidR="003B7C94" w:rsidRPr="00A53847" w:rsidRDefault="003B7C94" w:rsidP="00955D4D">
            <w:pPr>
              <w:spacing w:after="0"/>
              <w:jc w:val="center"/>
              <w:rPr>
                <w:rFonts w:cstheme="minorHAnsi"/>
                <w:bCs/>
                <w:sz w:val="20"/>
                <w:szCs w:val="20"/>
              </w:rPr>
            </w:pPr>
            <w:r>
              <w:rPr>
                <w:rFonts w:cstheme="minorHAnsi"/>
                <w:bCs/>
                <w:sz w:val="20"/>
                <w:szCs w:val="20"/>
              </w:rPr>
              <w:t>Yes (food)</w:t>
            </w:r>
          </w:p>
        </w:tc>
        <w:tc>
          <w:tcPr>
            <w:tcW w:w="1559" w:type="dxa"/>
            <w:tcBorders>
              <w:top w:val="single" w:sz="4" w:space="0" w:color="auto"/>
              <w:left w:val="single" w:sz="4" w:space="0" w:color="auto"/>
              <w:bottom w:val="single" w:sz="4" w:space="0" w:color="auto"/>
              <w:right w:val="single" w:sz="4" w:space="0" w:color="auto"/>
            </w:tcBorders>
            <w:vAlign w:val="center"/>
          </w:tcPr>
          <w:p w14:paraId="4AB802B4" w14:textId="77777777" w:rsidR="003B7C94" w:rsidRPr="00A53847" w:rsidRDefault="003B7C94" w:rsidP="00955D4D">
            <w:pPr>
              <w:spacing w:after="0"/>
              <w:jc w:val="center"/>
              <w:rPr>
                <w:rFonts w:cstheme="minorHAnsi"/>
                <w:bCs/>
                <w:sz w:val="20"/>
                <w:szCs w:val="20"/>
              </w:rPr>
            </w:pPr>
            <w:r>
              <w:rPr>
                <w:rFonts w:cstheme="minorHAnsi"/>
                <w:bCs/>
                <w:sz w:val="20"/>
                <w:szCs w:val="20"/>
              </w:rPr>
              <w:t>Not specified</w:t>
            </w:r>
          </w:p>
        </w:tc>
        <w:tc>
          <w:tcPr>
            <w:tcW w:w="1559" w:type="dxa"/>
            <w:tcBorders>
              <w:top w:val="single" w:sz="4" w:space="0" w:color="auto"/>
              <w:left w:val="single" w:sz="4" w:space="0" w:color="auto"/>
              <w:bottom w:val="single" w:sz="4" w:space="0" w:color="auto"/>
              <w:right w:val="single" w:sz="4" w:space="0" w:color="auto"/>
            </w:tcBorders>
            <w:vAlign w:val="center"/>
          </w:tcPr>
          <w:p w14:paraId="104C8045"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61E1987A"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60" w:type="dxa"/>
            <w:tcBorders>
              <w:top w:val="single" w:sz="4" w:space="0" w:color="auto"/>
              <w:left w:val="single" w:sz="4" w:space="0" w:color="auto"/>
              <w:bottom w:val="single" w:sz="4" w:space="0" w:color="auto"/>
              <w:right w:val="single" w:sz="4" w:space="0" w:color="auto"/>
            </w:tcBorders>
            <w:vAlign w:val="center"/>
          </w:tcPr>
          <w:p w14:paraId="26A3701D"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6710E2AC" w14:textId="77777777" w:rsidR="003B7C94" w:rsidRPr="00A53847" w:rsidRDefault="003B7C94" w:rsidP="00955D4D">
            <w:pPr>
              <w:spacing w:after="0"/>
              <w:jc w:val="center"/>
              <w:rPr>
                <w:rFonts w:cstheme="minorHAnsi"/>
                <w:bCs/>
                <w:sz w:val="20"/>
                <w:szCs w:val="20"/>
              </w:rPr>
            </w:pPr>
            <w:r w:rsidRPr="007836FA">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0DD4CE08" w14:textId="77777777" w:rsidR="003B7C94" w:rsidRPr="00A53847" w:rsidRDefault="003B7C94" w:rsidP="00955D4D">
            <w:pPr>
              <w:spacing w:after="0"/>
              <w:jc w:val="center"/>
              <w:rPr>
                <w:rFonts w:cstheme="minorHAnsi"/>
                <w:bCs/>
                <w:sz w:val="20"/>
                <w:szCs w:val="20"/>
              </w:rPr>
            </w:pPr>
            <w:r w:rsidRPr="003C38E5">
              <w:rPr>
                <w:rFonts w:cstheme="minorHAnsi"/>
                <w:bCs/>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37F0D1D0" w14:textId="77777777" w:rsidR="003B7C94" w:rsidRPr="00A53847" w:rsidRDefault="003B7C94" w:rsidP="00955D4D">
            <w:pPr>
              <w:spacing w:after="0"/>
              <w:jc w:val="center"/>
              <w:rPr>
                <w:rFonts w:cstheme="minorHAnsi"/>
                <w:bCs/>
                <w:sz w:val="20"/>
                <w:szCs w:val="20"/>
              </w:rPr>
            </w:pPr>
            <w:r w:rsidRPr="00172532">
              <w:rPr>
                <w:rFonts w:cstheme="minorHAnsi"/>
                <w:bCs/>
                <w:sz w:val="20"/>
                <w:szCs w:val="20"/>
              </w:rPr>
              <w:t>No</w:t>
            </w:r>
          </w:p>
        </w:tc>
      </w:tr>
      <w:tr w:rsidR="003B7C94" w:rsidRPr="00263308" w14:paraId="1E88BF9C"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B51C8D" w14:textId="77777777" w:rsidR="003B7C94" w:rsidRPr="00A53847" w:rsidRDefault="003B7C94" w:rsidP="00955D4D">
            <w:pPr>
              <w:spacing w:after="0"/>
              <w:rPr>
                <w:rFonts w:cstheme="minorHAnsi"/>
                <w:bCs/>
                <w:sz w:val="20"/>
                <w:szCs w:val="20"/>
              </w:rPr>
            </w:pPr>
            <w:r w:rsidRPr="00A53847">
              <w:rPr>
                <w:rFonts w:cstheme="minorHAnsi"/>
                <w:bCs/>
                <w:sz w:val="20"/>
                <w:szCs w:val="20"/>
              </w:rPr>
              <w:lastRenderedPageBreak/>
              <w:t xml:space="preserve">Feed contaminant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151382" w14:textId="77777777" w:rsidR="003B7C94" w:rsidRPr="00A53847" w:rsidRDefault="003B7C94" w:rsidP="00955D4D">
            <w:pPr>
              <w:spacing w:after="0"/>
              <w:rPr>
                <w:rFonts w:cstheme="minorHAnsi"/>
                <w:bCs/>
                <w:sz w:val="20"/>
                <w:szCs w:val="20"/>
              </w:rPr>
            </w:pPr>
            <w:r>
              <w:rPr>
                <w:rFonts w:cstheme="minorHAnsi"/>
                <w:bCs/>
                <w:sz w:val="20"/>
                <w:szCs w:val="20"/>
              </w:rPr>
              <w:t>Dir 2002/32/EC</w:t>
            </w:r>
          </w:p>
        </w:tc>
        <w:tc>
          <w:tcPr>
            <w:tcW w:w="1276" w:type="dxa"/>
            <w:tcBorders>
              <w:top w:val="single" w:sz="4" w:space="0" w:color="auto"/>
              <w:left w:val="single" w:sz="4" w:space="0" w:color="auto"/>
              <w:bottom w:val="single" w:sz="4" w:space="0" w:color="auto"/>
              <w:right w:val="single" w:sz="4" w:space="0" w:color="auto"/>
            </w:tcBorders>
            <w:vAlign w:val="center"/>
          </w:tcPr>
          <w:p w14:paraId="7C9A243C" w14:textId="77777777" w:rsidR="003B7C94" w:rsidRPr="00A53847" w:rsidRDefault="003B7C94" w:rsidP="00955D4D">
            <w:pPr>
              <w:spacing w:after="0"/>
              <w:jc w:val="center"/>
              <w:rPr>
                <w:rFonts w:cstheme="minorHAnsi"/>
                <w:bCs/>
                <w:sz w:val="20"/>
                <w:szCs w:val="20"/>
              </w:rPr>
            </w:pPr>
            <w:r>
              <w:rPr>
                <w:rFonts w:cstheme="minorHAnsi"/>
                <w:bCs/>
                <w:sz w:val="20"/>
                <w:szCs w:val="20"/>
              </w:rPr>
              <w:t>Yes (feed)</w:t>
            </w:r>
          </w:p>
        </w:tc>
        <w:tc>
          <w:tcPr>
            <w:tcW w:w="1559" w:type="dxa"/>
            <w:tcBorders>
              <w:top w:val="single" w:sz="4" w:space="0" w:color="auto"/>
              <w:left w:val="single" w:sz="4" w:space="0" w:color="auto"/>
              <w:bottom w:val="single" w:sz="4" w:space="0" w:color="auto"/>
              <w:right w:val="single" w:sz="4" w:space="0" w:color="auto"/>
            </w:tcBorders>
            <w:vAlign w:val="center"/>
          </w:tcPr>
          <w:p w14:paraId="406D12F9" w14:textId="77777777" w:rsidR="003B7C94" w:rsidRPr="00A53847" w:rsidRDefault="003B7C94" w:rsidP="00955D4D">
            <w:pPr>
              <w:spacing w:after="0"/>
              <w:jc w:val="center"/>
              <w:rPr>
                <w:rFonts w:cstheme="minorHAnsi"/>
                <w:bCs/>
                <w:sz w:val="20"/>
                <w:szCs w:val="20"/>
              </w:rPr>
            </w:pPr>
            <w:r>
              <w:rPr>
                <w:rFonts w:cstheme="minorHAnsi"/>
                <w:bCs/>
                <w:sz w:val="20"/>
                <w:szCs w:val="20"/>
              </w:rPr>
              <w:t>Not specified</w:t>
            </w:r>
          </w:p>
        </w:tc>
        <w:tc>
          <w:tcPr>
            <w:tcW w:w="1559" w:type="dxa"/>
            <w:tcBorders>
              <w:top w:val="single" w:sz="4" w:space="0" w:color="auto"/>
              <w:left w:val="single" w:sz="4" w:space="0" w:color="auto"/>
              <w:bottom w:val="single" w:sz="4" w:space="0" w:color="auto"/>
              <w:right w:val="single" w:sz="4" w:space="0" w:color="auto"/>
            </w:tcBorders>
            <w:vAlign w:val="center"/>
          </w:tcPr>
          <w:p w14:paraId="337DB9FE"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79550F73"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4F3EA83C"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tcPr>
          <w:p w14:paraId="31C8F092" w14:textId="77777777" w:rsidR="003B7C94" w:rsidRPr="00A53847" w:rsidRDefault="003B7C94" w:rsidP="00955D4D">
            <w:pPr>
              <w:spacing w:after="0"/>
              <w:jc w:val="center"/>
              <w:rPr>
                <w:rFonts w:cstheme="minorHAnsi"/>
                <w:bCs/>
                <w:sz w:val="20"/>
                <w:szCs w:val="20"/>
              </w:rPr>
            </w:pPr>
            <w:r w:rsidRPr="007836FA">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04C1E4AA" w14:textId="77777777" w:rsidR="003B7C94" w:rsidRPr="00A53847" w:rsidRDefault="003B7C94" w:rsidP="00955D4D">
            <w:pPr>
              <w:spacing w:after="0"/>
              <w:jc w:val="center"/>
              <w:rPr>
                <w:rFonts w:cstheme="minorHAnsi"/>
                <w:bCs/>
                <w:sz w:val="20"/>
                <w:szCs w:val="20"/>
              </w:rPr>
            </w:pPr>
            <w:r w:rsidRPr="003C38E5">
              <w:rPr>
                <w:rFonts w:cstheme="minorHAnsi"/>
                <w:bCs/>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1D6DF626" w14:textId="77777777" w:rsidR="003B7C94" w:rsidRPr="00A53847" w:rsidRDefault="003B7C94" w:rsidP="00955D4D">
            <w:pPr>
              <w:spacing w:after="0"/>
              <w:jc w:val="center"/>
              <w:rPr>
                <w:rFonts w:cstheme="minorHAnsi"/>
                <w:bCs/>
                <w:sz w:val="20"/>
                <w:szCs w:val="20"/>
              </w:rPr>
            </w:pPr>
            <w:r w:rsidRPr="00172532">
              <w:rPr>
                <w:rFonts w:cstheme="minorHAnsi"/>
                <w:bCs/>
                <w:sz w:val="20"/>
                <w:szCs w:val="20"/>
              </w:rPr>
              <w:t>No</w:t>
            </w:r>
          </w:p>
        </w:tc>
      </w:tr>
      <w:tr w:rsidR="003B7C94" w:rsidRPr="00263308" w14:paraId="2B5C7464"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2B9929" w14:textId="77777777" w:rsidR="003B7C94" w:rsidRPr="00A53847" w:rsidRDefault="003B7C94" w:rsidP="00955D4D">
            <w:pPr>
              <w:spacing w:after="0"/>
              <w:rPr>
                <w:rFonts w:cstheme="minorHAnsi"/>
                <w:bCs/>
                <w:sz w:val="20"/>
                <w:szCs w:val="20"/>
              </w:rPr>
            </w:pPr>
            <w:r w:rsidRPr="00A53847">
              <w:rPr>
                <w:rFonts w:cstheme="minorHAnsi"/>
                <w:bCs/>
                <w:sz w:val="20"/>
                <w:szCs w:val="20"/>
              </w:rPr>
              <w:t>Maximum residue levels (MRLs)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9FC3C3" w14:textId="77777777" w:rsidR="003B7C94" w:rsidRPr="00A53847" w:rsidRDefault="003B7C94" w:rsidP="00955D4D">
            <w:pPr>
              <w:spacing w:after="0"/>
              <w:rPr>
                <w:rFonts w:cstheme="minorHAnsi"/>
                <w:bCs/>
                <w:sz w:val="20"/>
                <w:szCs w:val="20"/>
              </w:rPr>
            </w:pPr>
            <w:r>
              <w:rPr>
                <w:rFonts w:cstheme="minorHAnsi"/>
                <w:bCs/>
                <w:sz w:val="20"/>
                <w:szCs w:val="20"/>
              </w:rPr>
              <w:t>Reg 396/2005</w:t>
            </w:r>
          </w:p>
        </w:tc>
        <w:tc>
          <w:tcPr>
            <w:tcW w:w="1276" w:type="dxa"/>
            <w:tcBorders>
              <w:top w:val="single" w:sz="4" w:space="0" w:color="auto"/>
              <w:left w:val="single" w:sz="4" w:space="0" w:color="auto"/>
              <w:bottom w:val="single" w:sz="4" w:space="0" w:color="auto"/>
              <w:right w:val="single" w:sz="4" w:space="0" w:color="auto"/>
            </w:tcBorders>
            <w:vAlign w:val="center"/>
          </w:tcPr>
          <w:p w14:paraId="7A25F211"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1CC47B67" w14:textId="77777777" w:rsidR="003B7C94" w:rsidRPr="00A53847" w:rsidRDefault="003B7C94" w:rsidP="00955D4D">
            <w:pPr>
              <w:spacing w:after="0"/>
              <w:jc w:val="center"/>
              <w:rPr>
                <w:rFonts w:cstheme="minorHAnsi"/>
                <w:bCs/>
                <w:sz w:val="20"/>
                <w:szCs w:val="20"/>
              </w:rPr>
            </w:pPr>
            <w:r>
              <w:rPr>
                <w:rFonts w:cstheme="minorHAnsi"/>
                <w:bCs/>
                <w:sz w:val="20"/>
                <w:szCs w:val="20"/>
              </w:rPr>
              <w:t>Not specified</w:t>
            </w:r>
          </w:p>
        </w:tc>
        <w:tc>
          <w:tcPr>
            <w:tcW w:w="1559" w:type="dxa"/>
            <w:tcBorders>
              <w:top w:val="single" w:sz="4" w:space="0" w:color="auto"/>
              <w:left w:val="single" w:sz="4" w:space="0" w:color="auto"/>
              <w:bottom w:val="single" w:sz="4" w:space="0" w:color="auto"/>
              <w:right w:val="single" w:sz="4" w:space="0" w:color="auto"/>
            </w:tcBorders>
            <w:vAlign w:val="center"/>
          </w:tcPr>
          <w:p w14:paraId="38BED065"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0B4D9274" w14:textId="77777777" w:rsidR="003B7C94" w:rsidRPr="00A53847" w:rsidRDefault="003B7C94" w:rsidP="00955D4D">
            <w:pPr>
              <w:spacing w:after="0"/>
              <w:jc w:val="center"/>
              <w:rPr>
                <w:rFonts w:cstheme="minorHAnsi"/>
                <w:bCs/>
                <w:sz w:val="20"/>
                <w:szCs w:val="20"/>
              </w:rPr>
            </w:pPr>
            <w:r w:rsidRPr="00B45AF5">
              <w:rPr>
                <w:rFonts w:cstheme="minorHAnsi"/>
                <w:bCs/>
                <w:sz w:val="20"/>
                <w:szCs w:val="20"/>
              </w:rPr>
              <w:t>No</w:t>
            </w:r>
          </w:p>
        </w:tc>
        <w:tc>
          <w:tcPr>
            <w:tcW w:w="1560" w:type="dxa"/>
            <w:tcBorders>
              <w:top w:val="single" w:sz="4" w:space="0" w:color="auto"/>
              <w:left w:val="single" w:sz="4" w:space="0" w:color="auto"/>
              <w:bottom w:val="single" w:sz="4" w:space="0" w:color="auto"/>
              <w:right w:val="single" w:sz="4" w:space="0" w:color="auto"/>
            </w:tcBorders>
            <w:vAlign w:val="center"/>
          </w:tcPr>
          <w:p w14:paraId="39F824DD" w14:textId="77777777" w:rsidR="003B7C94" w:rsidRPr="00A53847" w:rsidRDefault="003B7C94" w:rsidP="00955D4D">
            <w:pPr>
              <w:spacing w:after="0"/>
              <w:jc w:val="center"/>
              <w:rPr>
                <w:rFonts w:cstheme="minorHAnsi"/>
                <w:bCs/>
                <w:sz w:val="20"/>
                <w:szCs w:val="20"/>
              </w:rPr>
            </w:pPr>
            <w:r w:rsidRPr="00DA4330">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7FAAF904" w14:textId="77777777" w:rsidR="003B7C94" w:rsidRPr="00A53847" w:rsidRDefault="003B7C94" w:rsidP="00955D4D">
            <w:pPr>
              <w:spacing w:after="0"/>
              <w:jc w:val="center"/>
              <w:rPr>
                <w:rFonts w:cstheme="minorHAnsi"/>
                <w:bCs/>
                <w:sz w:val="20"/>
                <w:szCs w:val="20"/>
              </w:rPr>
            </w:pPr>
            <w:r w:rsidRPr="007836FA">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5D1FFA46" w14:textId="77777777" w:rsidR="003B7C94" w:rsidRPr="00A53847" w:rsidRDefault="003B7C94" w:rsidP="00955D4D">
            <w:pPr>
              <w:spacing w:after="0"/>
              <w:jc w:val="center"/>
              <w:rPr>
                <w:rFonts w:cstheme="minorHAnsi"/>
                <w:bCs/>
                <w:sz w:val="20"/>
                <w:szCs w:val="20"/>
              </w:rPr>
            </w:pPr>
            <w:r w:rsidRPr="003C38E5">
              <w:rPr>
                <w:rFonts w:cstheme="minorHAnsi"/>
                <w:bCs/>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2ED137F5" w14:textId="77777777" w:rsidR="003B7C94" w:rsidRPr="00A53847" w:rsidRDefault="003B7C94" w:rsidP="00955D4D">
            <w:pPr>
              <w:spacing w:after="0"/>
              <w:jc w:val="center"/>
              <w:rPr>
                <w:rFonts w:cstheme="minorHAnsi"/>
                <w:bCs/>
                <w:sz w:val="20"/>
                <w:szCs w:val="20"/>
              </w:rPr>
            </w:pPr>
            <w:r w:rsidRPr="00172532">
              <w:rPr>
                <w:rFonts w:cstheme="minorHAnsi"/>
                <w:bCs/>
                <w:sz w:val="20"/>
                <w:szCs w:val="20"/>
              </w:rPr>
              <w:t>No</w:t>
            </w:r>
          </w:p>
        </w:tc>
      </w:tr>
      <w:tr w:rsidR="003B7C94" w:rsidRPr="00263308" w14:paraId="65D79230"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E9F79F" w14:textId="77777777" w:rsidR="003B7C94" w:rsidRPr="00A53847" w:rsidRDefault="003B7C94" w:rsidP="00955D4D">
            <w:pPr>
              <w:spacing w:after="0"/>
              <w:rPr>
                <w:rFonts w:cstheme="minorHAnsi"/>
                <w:bCs/>
                <w:sz w:val="20"/>
                <w:szCs w:val="20"/>
              </w:rPr>
            </w:pPr>
            <w:r w:rsidRPr="00A53847">
              <w:rPr>
                <w:rFonts w:cstheme="minorHAnsi"/>
                <w:bCs/>
                <w:sz w:val="20"/>
                <w:szCs w:val="20"/>
              </w:rPr>
              <w:t xml:space="preserve">Protection of the health of workers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CD59B0" w14:textId="77777777" w:rsidR="003B7C94" w:rsidRPr="00A53847" w:rsidRDefault="003B7C94" w:rsidP="00955D4D">
            <w:pPr>
              <w:spacing w:after="0"/>
              <w:rPr>
                <w:rFonts w:cstheme="minorHAnsi"/>
                <w:bCs/>
                <w:sz w:val="20"/>
                <w:szCs w:val="20"/>
              </w:rPr>
            </w:pPr>
            <w:r>
              <w:rPr>
                <w:rFonts w:cstheme="minorHAnsi"/>
                <w:bCs/>
                <w:sz w:val="20"/>
                <w:szCs w:val="20"/>
              </w:rPr>
              <w:t>Dir 98/24/EC</w:t>
            </w:r>
          </w:p>
        </w:tc>
        <w:tc>
          <w:tcPr>
            <w:tcW w:w="1276" w:type="dxa"/>
            <w:tcBorders>
              <w:top w:val="single" w:sz="4" w:space="0" w:color="auto"/>
              <w:left w:val="single" w:sz="4" w:space="0" w:color="auto"/>
              <w:bottom w:val="single" w:sz="4" w:space="0" w:color="auto"/>
              <w:right w:val="single" w:sz="4" w:space="0" w:color="auto"/>
            </w:tcBorders>
            <w:vAlign w:val="center"/>
          </w:tcPr>
          <w:p w14:paraId="56F6A75A"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4F7F0F9F" w14:textId="77777777" w:rsidR="003B7C94" w:rsidRPr="00A53847" w:rsidRDefault="003B7C94" w:rsidP="00955D4D">
            <w:pPr>
              <w:spacing w:after="0"/>
              <w:jc w:val="center"/>
              <w:rPr>
                <w:rFonts w:cstheme="minorHAnsi"/>
                <w:bCs/>
                <w:sz w:val="20"/>
                <w:szCs w:val="20"/>
              </w:rPr>
            </w:pPr>
            <w:r>
              <w:rPr>
                <w:rFonts w:cstheme="minorHAnsi"/>
                <w:bCs/>
                <w:sz w:val="20"/>
                <w:szCs w:val="20"/>
              </w:rPr>
              <w:t>Not specified</w:t>
            </w:r>
          </w:p>
        </w:tc>
        <w:tc>
          <w:tcPr>
            <w:tcW w:w="1559" w:type="dxa"/>
            <w:tcBorders>
              <w:top w:val="single" w:sz="4" w:space="0" w:color="auto"/>
              <w:left w:val="single" w:sz="4" w:space="0" w:color="auto"/>
              <w:bottom w:val="single" w:sz="4" w:space="0" w:color="auto"/>
              <w:right w:val="single" w:sz="4" w:space="0" w:color="auto"/>
            </w:tcBorders>
            <w:vAlign w:val="center"/>
          </w:tcPr>
          <w:p w14:paraId="58871E20"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529BA9E2" w14:textId="77777777" w:rsidR="003B7C94" w:rsidRPr="00A53847" w:rsidRDefault="003B7C94" w:rsidP="00955D4D">
            <w:pPr>
              <w:spacing w:after="0"/>
              <w:jc w:val="center"/>
              <w:rPr>
                <w:rFonts w:cstheme="minorHAnsi"/>
                <w:bCs/>
                <w:sz w:val="20"/>
                <w:szCs w:val="20"/>
              </w:rPr>
            </w:pPr>
            <w:r w:rsidRPr="00B45AF5">
              <w:rPr>
                <w:rFonts w:cstheme="minorHAnsi"/>
                <w:bCs/>
                <w:sz w:val="20"/>
                <w:szCs w:val="20"/>
              </w:rPr>
              <w:t>No</w:t>
            </w:r>
          </w:p>
        </w:tc>
        <w:tc>
          <w:tcPr>
            <w:tcW w:w="1560" w:type="dxa"/>
            <w:tcBorders>
              <w:top w:val="single" w:sz="4" w:space="0" w:color="auto"/>
              <w:left w:val="single" w:sz="4" w:space="0" w:color="auto"/>
              <w:bottom w:val="single" w:sz="4" w:space="0" w:color="auto"/>
              <w:right w:val="single" w:sz="4" w:space="0" w:color="auto"/>
            </w:tcBorders>
            <w:vAlign w:val="center"/>
          </w:tcPr>
          <w:p w14:paraId="38D13166" w14:textId="77777777" w:rsidR="003B7C94" w:rsidRPr="00A53847" w:rsidRDefault="003B7C94" w:rsidP="00955D4D">
            <w:pPr>
              <w:spacing w:after="0"/>
              <w:jc w:val="center"/>
              <w:rPr>
                <w:rFonts w:cstheme="minorHAnsi"/>
                <w:bCs/>
                <w:sz w:val="20"/>
                <w:szCs w:val="20"/>
              </w:rPr>
            </w:pPr>
            <w:r w:rsidRPr="00DA4330">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4C60D7EB" w14:textId="77777777" w:rsidR="003B7C94" w:rsidRPr="00A53847" w:rsidRDefault="003B7C94" w:rsidP="00955D4D">
            <w:pPr>
              <w:spacing w:after="0"/>
              <w:jc w:val="center"/>
              <w:rPr>
                <w:rFonts w:cstheme="minorHAnsi"/>
                <w:bCs/>
                <w:sz w:val="20"/>
                <w:szCs w:val="20"/>
              </w:rPr>
            </w:pPr>
            <w:r w:rsidRPr="007836FA">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3A481F40" w14:textId="77777777" w:rsidR="003B7C94" w:rsidRPr="00A53847" w:rsidRDefault="003B7C94" w:rsidP="00955D4D">
            <w:pPr>
              <w:spacing w:after="0"/>
              <w:jc w:val="center"/>
              <w:rPr>
                <w:rFonts w:cstheme="minorHAnsi"/>
                <w:bCs/>
                <w:sz w:val="20"/>
                <w:szCs w:val="20"/>
              </w:rPr>
            </w:pPr>
            <w:r w:rsidRPr="003C38E5">
              <w:rPr>
                <w:rFonts w:cstheme="minorHAnsi"/>
                <w:bCs/>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7BE39BA9" w14:textId="77777777" w:rsidR="003B7C94" w:rsidRPr="00A53847" w:rsidRDefault="003B7C94" w:rsidP="00955D4D">
            <w:pPr>
              <w:spacing w:after="0"/>
              <w:jc w:val="center"/>
              <w:rPr>
                <w:rFonts w:cstheme="minorHAnsi"/>
                <w:bCs/>
                <w:sz w:val="20"/>
                <w:szCs w:val="20"/>
              </w:rPr>
            </w:pPr>
            <w:r w:rsidRPr="00172532">
              <w:rPr>
                <w:rFonts w:cstheme="minorHAnsi"/>
                <w:bCs/>
                <w:sz w:val="20"/>
                <w:szCs w:val="20"/>
              </w:rPr>
              <w:t>No</w:t>
            </w:r>
          </w:p>
        </w:tc>
      </w:tr>
      <w:tr w:rsidR="003B7C94" w:rsidRPr="00263308" w14:paraId="23145247" w14:textId="77777777" w:rsidTr="00955D4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101594" w14:textId="77777777" w:rsidR="003B7C94" w:rsidRPr="00A53847" w:rsidRDefault="003B7C94" w:rsidP="00955D4D">
            <w:pPr>
              <w:spacing w:after="0"/>
              <w:rPr>
                <w:rFonts w:cstheme="minorHAnsi"/>
                <w:bCs/>
                <w:sz w:val="20"/>
                <w:szCs w:val="20"/>
              </w:rPr>
            </w:pPr>
            <w:r w:rsidRPr="00A53847">
              <w:rPr>
                <w:rFonts w:cstheme="minorHAnsi"/>
                <w:bCs/>
                <w:sz w:val="20"/>
                <w:szCs w:val="20"/>
              </w:rPr>
              <w:t xml:space="preserve">Toys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1895F2" w14:textId="77777777" w:rsidR="003B7C94" w:rsidRPr="00A53847" w:rsidRDefault="003B7C94" w:rsidP="00955D4D">
            <w:pPr>
              <w:spacing w:after="0"/>
              <w:rPr>
                <w:rFonts w:cstheme="minorHAnsi"/>
                <w:bCs/>
                <w:sz w:val="20"/>
                <w:szCs w:val="20"/>
              </w:rPr>
            </w:pPr>
            <w:r>
              <w:rPr>
                <w:rFonts w:cstheme="minorHAnsi"/>
                <w:bCs/>
                <w:sz w:val="20"/>
                <w:szCs w:val="20"/>
              </w:rPr>
              <w:t>Dir 2009/48/EC</w:t>
            </w:r>
          </w:p>
        </w:tc>
        <w:tc>
          <w:tcPr>
            <w:tcW w:w="1276" w:type="dxa"/>
            <w:tcBorders>
              <w:top w:val="single" w:sz="4" w:space="0" w:color="auto"/>
              <w:left w:val="single" w:sz="4" w:space="0" w:color="auto"/>
              <w:bottom w:val="single" w:sz="4" w:space="0" w:color="auto"/>
              <w:right w:val="single" w:sz="4" w:space="0" w:color="auto"/>
            </w:tcBorders>
            <w:vAlign w:val="center"/>
          </w:tcPr>
          <w:p w14:paraId="283D542F" w14:textId="77777777" w:rsidR="003B7C94" w:rsidRPr="00A53847" w:rsidRDefault="003B7C94" w:rsidP="00955D4D">
            <w:pPr>
              <w:spacing w:after="0"/>
              <w:jc w:val="center"/>
              <w:rPr>
                <w:rFonts w:cstheme="minorHAnsi"/>
                <w:bCs/>
                <w:sz w:val="20"/>
                <w:szCs w:val="20"/>
              </w:rPr>
            </w:pPr>
            <w:r>
              <w:rPr>
                <w:rFonts w:cstheme="minorHAnsi"/>
                <w:bCs/>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tcPr>
          <w:p w14:paraId="53D35EDF" w14:textId="77777777" w:rsidR="003B7C94" w:rsidRPr="00A53847" w:rsidRDefault="003B7C94" w:rsidP="00955D4D">
            <w:pPr>
              <w:spacing w:after="0"/>
              <w:jc w:val="center"/>
              <w:rPr>
                <w:rFonts w:cstheme="minorHAnsi"/>
                <w:bCs/>
                <w:sz w:val="20"/>
                <w:szCs w:val="20"/>
              </w:rPr>
            </w:pPr>
            <w:r>
              <w:rPr>
                <w:rFonts w:cstheme="minorHAnsi"/>
                <w:bCs/>
                <w:sz w:val="20"/>
                <w:szCs w:val="20"/>
              </w:rPr>
              <w:t>No testing</w:t>
            </w:r>
          </w:p>
        </w:tc>
        <w:tc>
          <w:tcPr>
            <w:tcW w:w="1559" w:type="dxa"/>
            <w:tcBorders>
              <w:top w:val="single" w:sz="4" w:space="0" w:color="auto"/>
              <w:left w:val="single" w:sz="4" w:space="0" w:color="auto"/>
              <w:bottom w:val="single" w:sz="4" w:space="0" w:color="auto"/>
              <w:right w:val="single" w:sz="4" w:space="0" w:color="auto"/>
            </w:tcBorders>
            <w:vAlign w:val="center"/>
          </w:tcPr>
          <w:p w14:paraId="6EEB7C02" w14:textId="77777777" w:rsidR="003B7C94" w:rsidRPr="00A53847" w:rsidRDefault="003B7C94" w:rsidP="00955D4D">
            <w:pPr>
              <w:spacing w:after="0"/>
              <w:rPr>
                <w:rFonts w:cstheme="minorHAnsi"/>
                <w:bCs/>
                <w:sz w:val="20"/>
                <w:szCs w:val="20"/>
              </w:rPr>
            </w:pPr>
            <w:r>
              <w:rPr>
                <w:rFonts w:cstheme="minorHAnsi"/>
                <w:bCs/>
                <w:sz w:val="20"/>
                <w:szCs w:val="20"/>
              </w:rPr>
              <w:t>No RA but threshold value and refers to CLP</w:t>
            </w:r>
          </w:p>
        </w:tc>
        <w:tc>
          <w:tcPr>
            <w:tcW w:w="1559" w:type="dxa"/>
            <w:tcBorders>
              <w:top w:val="single" w:sz="4" w:space="0" w:color="auto"/>
              <w:left w:val="single" w:sz="4" w:space="0" w:color="auto"/>
              <w:bottom w:val="single" w:sz="4" w:space="0" w:color="auto"/>
              <w:right w:val="single" w:sz="4" w:space="0" w:color="auto"/>
            </w:tcBorders>
            <w:vAlign w:val="center"/>
          </w:tcPr>
          <w:p w14:paraId="5B014140"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560" w:type="dxa"/>
            <w:tcBorders>
              <w:top w:val="single" w:sz="4" w:space="0" w:color="auto"/>
              <w:left w:val="single" w:sz="4" w:space="0" w:color="auto"/>
              <w:bottom w:val="single" w:sz="4" w:space="0" w:color="auto"/>
              <w:right w:val="single" w:sz="4" w:space="0" w:color="auto"/>
            </w:tcBorders>
            <w:vAlign w:val="center"/>
          </w:tcPr>
          <w:p w14:paraId="5A311D13" w14:textId="77777777" w:rsidR="003B7C94" w:rsidRPr="00A53847" w:rsidRDefault="003B7C94" w:rsidP="00955D4D">
            <w:pPr>
              <w:spacing w:after="0"/>
              <w:jc w:val="center"/>
              <w:rPr>
                <w:rFonts w:cstheme="minorHAnsi"/>
                <w:bCs/>
                <w:sz w:val="20"/>
                <w:szCs w:val="20"/>
              </w:rPr>
            </w:pPr>
            <w:r>
              <w:rPr>
                <w:rFonts w:cstheme="minorHAnsi"/>
                <w:bCs/>
                <w:sz w:val="20"/>
                <w:szCs w:val="20"/>
              </w:rPr>
              <w:t>Refers to CLP</w:t>
            </w:r>
          </w:p>
        </w:tc>
        <w:tc>
          <w:tcPr>
            <w:tcW w:w="1559" w:type="dxa"/>
            <w:tcBorders>
              <w:top w:val="single" w:sz="4" w:space="0" w:color="auto"/>
              <w:left w:val="single" w:sz="4" w:space="0" w:color="auto"/>
              <w:bottom w:val="single" w:sz="4" w:space="0" w:color="auto"/>
              <w:right w:val="single" w:sz="4" w:space="0" w:color="auto"/>
            </w:tcBorders>
            <w:vAlign w:val="center"/>
          </w:tcPr>
          <w:p w14:paraId="2935402A"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14:paraId="7AEB5210"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14:paraId="30B8229B" w14:textId="77777777" w:rsidR="003B7C94" w:rsidRPr="00A53847" w:rsidRDefault="003B7C94" w:rsidP="00955D4D">
            <w:pPr>
              <w:spacing w:after="0"/>
              <w:jc w:val="center"/>
              <w:rPr>
                <w:rFonts w:cstheme="minorHAnsi"/>
                <w:bCs/>
                <w:sz w:val="20"/>
                <w:szCs w:val="20"/>
              </w:rPr>
            </w:pPr>
            <w:r>
              <w:rPr>
                <w:rFonts w:cstheme="minorHAnsi"/>
                <w:bCs/>
                <w:sz w:val="20"/>
                <w:szCs w:val="20"/>
              </w:rPr>
              <w:t>No</w:t>
            </w:r>
          </w:p>
        </w:tc>
      </w:tr>
      <w:tr w:rsidR="009E689C" w:rsidRPr="00263308" w14:paraId="44D9B951" w14:textId="77777777" w:rsidTr="00C85862">
        <w:trPr>
          <w:trHeight w:val="300"/>
        </w:trPr>
        <w:tc>
          <w:tcPr>
            <w:tcW w:w="148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0D148A" w14:textId="34F18A96" w:rsidR="009E689C" w:rsidRDefault="009E689C" w:rsidP="009E689C">
            <w:pPr>
              <w:spacing w:after="0"/>
              <w:jc w:val="left"/>
              <w:rPr>
                <w:rFonts w:cstheme="minorHAnsi"/>
                <w:bCs/>
                <w:sz w:val="20"/>
                <w:szCs w:val="20"/>
              </w:rPr>
            </w:pPr>
            <w:r>
              <w:rPr>
                <w:rFonts w:cstheme="minorHAnsi"/>
                <w:bCs/>
                <w:sz w:val="20"/>
                <w:szCs w:val="20"/>
              </w:rPr>
              <w:t xml:space="preserve">Source: </w:t>
            </w:r>
            <w:r>
              <w:rPr>
                <w:rFonts w:cstheme="minorHAnsi"/>
                <w:bCs/>
                <w:sz w:val="20"/>
                <w:szCs w:val="20"/>
              </w:rPr>
              <w:fldChar w:fldCharType="begin" w:fldLock="1"/>
            </w:r>
            <w:r>
              <w:rPr>
                <w:rFonts w:cstheme="minorHAnsi"/>
                <w:bCs/>
                <w:sz w:val="20"/>
                <w:szCs w:val="20"/>
              </w:rPr>
              <w:instrText>ADDIN CSL_CITATION {"citationItems":[{"id":"ITEM-1","itemData":{"author":[{"dropping-particle":"","family":"Kienzler","given":"A","non-dropping-particle":"","parse-names":false,"suffix":""},{"dropping-particle":"","family":"Berggren","given":"E","non-dropping-particle":"","parse-names":false,"suffix":""},{"dropping-particle":"","family":"Bessems","given":"J","non-dropping-particle":"","parse-names":false,"suffix":""},{"dropping-particle":"","family":"Bopp","given":"S","non-dropping-particle":"","parse-names":false,"suffix":""},{"dropping-particle":"","family":"Linden","given":"A","non-dropping-particle":"van der","parse-names":false,"suffix":""},{"dropping-particle":"","family":"Worth","given":"A","non-dropping-particle":"","parse-names":false,"suffix":""}],"id":"ITEM-1","issued":{"date-parts":[["2014"]]},"title":"Assessment of Mixtures - Review of regulatory requirements and guidance","type":"report"},"uris":["http://www.mendeley.com/documents/?uuid=5c945669-900e-4dc6-b6f1-b13a81ac46bd"]}],"mendeley":{"formattedCitation":"(Kienzler &lt;i&gt;et al.&lt;/i&gt;, 2014)","plainTextFormattedCitation":"(Kienzler et al., 2014)","previouslyFormattedCitation":"(Kienzler &lt;i&gt;et al.&lt;/i&gt;, 2014)"},"properties":{"noteIndex":0},"schema":"https://github.com/citation-style-language/schema/raw/master/csl-citation.json"}</w:instrText>
            </w:r>
            <w:r>
              <w:rPr>
                <w:rFonts w:cstheme="minorHAnsi"/>
                <w:bCs/>
                <w:sz w:val="20"/>
                <w:szCs w:val="20"/>
              </w:rPr>
              <w:fldChar w:fldCharType="separate"/>
            </w:r>
            <w:r w:rsidRPr="009E689C">
              <w:rPr>
                <w:rFonts w:cstheme="minorHAnsi"/>
                <w:bCs/>
                <w:noProof/>
                <w:sz w:val="20"/>
                <w:szCs w:val="20"/>
              </w:rPr>
              <w:t xml:space="preserve">(Kienzler </w:t>
            </w:r>
            <w:r w:rsidRPr="009E689C">
              <w:rPr>
                <w:rFonts w:cstheme="minorHAnsi"/>
                <w:bCs/>
                <w:i/>
                <w:noProof/>
                <w:sz w:val="20"/>
                <w:szCs w:val="20"/>
              </w:rPr>
              <w:t>et al.</w:t>
            </w:r>
            <w:r w:rsidRPr="009E689C">
              <w:rPr>
                <w:rFonts w:cstheme="minorHAnsi"/>
                <w:bCs/>
                <w:noProof/>
                <w:sz w:val="20"/>
                <w:szCs w:val="20"/>
              </w:rPr>
              <w:t>, 2014)</w:t>
            </w:r>
            <w:r>
              <w:rPr>
                <w:rFonts w:cstheme="minorHAnsi"/>
                <w:bCs/>
                <w:sz w:val="20"/>
                <w:szCs w:val="20"/>
              </w:rPr>
              <w:fldChar w:fldCharType="end"/>
            </w:r>
          </w:p>
        </w:tc>
      </w:tr>
    </w:tbl>
    <w:p w14:paraId="7866D94F" w14:textId="0BF8B97E" w:rsidR="003B7C94" w:rsidRDefault="003B7C94" w:rsidP="00D73CC2">
      <w:pPr>
        <w:sectPr w:rsidR="003B7C94" w:rsidSect="001E6173">
          <w:pgSz w:w="16838" w:h="11906" w:orient="landscape"/>
          <w:pgMar w:top="1440" w:right="1418" w:bottom="1440" w:left="851" w:header="709" w:footer="709" w:gutter="0"/>
          <w:cols w:space="708"/>
          <w:docGrid w:linePitch="360"/>
        </w:sectPr>
      </w:pPr>
    </w:p>
    <w:p w14:paraId="19CEE878" w14:textId="1EA699CC" w:rsidR="000301CD" w:rsidRDefault="000301CD" w:rsidP="00D73CC2"/>
    <w:p w14:paraId="3B27B721" w14:textId="78BE728E" w:rsidR="00B21E81" w:rsidRPr="00B21E81" w:rsidRDefault="00B21E81" w:rsidP="00B21E81">
      <w:pPr>
        <w:pStyle w:val="Heading3"/>
      </w:pPr>
      <w:r>
        <w:t>EDC</w:t>
      </w:r>
      <w:r w:rsidR="000C6E75">
        <w:t>-MixRisk</w:t>
      </w:r>
    </w:p>
    <w:p w14:paraId="559570D6" w14:textId="5C567773" w:rsidR="00B21E81" w:rsidRDefault="00227057" w:rsidP="00B21E81">
      <w:r>
        <w:t xml:space="preserve">EDC-MixRIsk started in 2015 and is a </w:t>
      </w:r>
      <w:r w:rsidR="00B63AA3">
        <w:t>four-year</w:t>
      </w:r>
      <w:r>
        <w:t xml:space="preserve"> project funded by the Commission’s Horizon 2020 </w:t>
      </w:r>
      <w:r w:rsidR="008F4C38">
        <w:t xml:space="preserve"> programme. It focuses on the effects on children of mixtures of endocrine disruptive chemicals</w:t>
      </w:r>
      <w:r w:rsidR="00FF05B3">
        <w:t xml:space="preserve"> (EDC)</w:t>
      </w:r>
      <w:r w:rsidR="008F4C38">
        <w:t>, by developing</w:t>
      </w:r>
      <w:r w:rsidR="00067FDD">
        <w:t xml:space="preserve"> methods for risk assessment.</w:t>
      </w:r>
      <w:r w:rsidR="006C59BB">
        <w:t xml:space="preserve"> The project has so far developed a novel approach </w:t>
      </w:r>
      <w:r w:rsidR="00826A81">
        <w:t>based on identifying and testing real life EDC mixtures</w:t>
      </w:r>
      <w:r w:rsidR="008F4C38">
        <w:t xml:space="preserve"> </w:t>
      </w:r>
      <w:r w:rsidR="003432B6">
        <w:t xml:space="preserve">which are associated with adverse health impacts on humans. </w:t>
      </w:r>
      <w:r w:rsidR="00CA1938">
        <w:t>The epidemiological data</w:t>
      </w:r>
      <w:r w:rsidR="002729BC">
        <w:t xml:space="preserve">, </w:t>
      </w:r>
      <w:r w:rsidR="00CA1938">
        <w:t>provided by the Swedish pregnancy cohort SELMA</w:t>
      </w:r>
      <w:r w:rsidR="002729BC">
        <w:t xml:space="preserve">, is used to create reference mixtures which mimic real life internal exposures. </w:t>
      </w:r>
      <w:r w:rsidR="00A7256C">
        <w:t xml:space="preserve">Mixtures are tested in various experimental models and data gathered </w:t>
      </w:r>
      <w:r w:rsidR="001D68DB">
        <w:t xml:space="preserve">from these models is used to establish new </w:t>
      </w:r>
      <w:r w:rsidR="00E71F37">
        <w:t>methods</w:t>
      </w:r>
      <w:r w:rsidR="00C82349">
        <w:t xml:space="preserve"> and strategies for mixture risk assessment</w:t>
      </w:r>
      <w:r w:rsidR="00B42595">
        <w:t>.</w:t>
      </w:r>
    </w:p>
    <w:p w14:paraId="75318DDB" w14:textId="717FABEA" w:rsidR="00200104" w:rsidRDefault="00200104" w:rsidP="00B21E81">
      <w:r>
        <w:t>One approach which has been developed is the whole mixture approach</w:t>
      </w:r>
      <w:r w:rsidR="0091335F">
        <w:t>. This approach enables more systematic integration of epidemiological and experimental data in</w:t>
      </w:r>
      <w:r w:rsidR="00F7396B">
        <w:t xml:space="preserve"> mixture risk assessment strategies and complements current risk assessment methods</w:t>
      </w:r>
      <w:r w:rsidR="008D371A">
        <w:t xml:space="preserve"> which are based on the single compound approach or</w:t>
      </w:r>
      <w:r w:rsidR="00BA70AC">
        <w:t xml:space="preserve"> assumptions of additi</w:t>
      </w:r>
      <w:r w:rsidR="00C31791">
        <w:t xml:space="preserve">on. It is hoped that this new approach for mixture assessment </w:t>
      </w:r>
      <w:r w:rsidR="00780CAA">
        <w:t>could be incorporated in existing legislations currently dealing with chemical mixtures</w:t>
      </w:r>
      <w:r w:rsidR="00A116A8">
        <w:t xml:space="preserve">. </w:t>
      </w:r>
      <w:r w:rsidR="00B112A3">
        <w:t>This new approach</w:t>
      </w:r>
      <w:r w:rsidR="00C34184">
        <w:t xml:space="preserve"> may significantly contribute to more relevant risk assessment and management by providing more reliable empirical information and better reflecting real life</w:t>
      </w:r>
      <w:r w:rsidR="00D2048B">
        <w:t xml:space="preserve"> scenarios.</w:t>
      </w:r>
    </w:p>
    <w:p w14:paraId="49F31C5B" w14:textId="7AA02E73" w:rsidR="00D60D43" w:rsidRDefault="00D60D43" w:rsidP="00B21E81">
      <w:r>
        <w:t xml:space="preserve">EDC-MixRisk </w:t>
      </w:r>
      <w:r w:rsidR="009F4AD1">
        <w:t>have suggested that current and future biomonitoring efforts should include:</w:t>
      </w:r>
    </w:p>
    <w:p w14:paraId="6E22F75F" w14:textId="552D1B87" w:rsidR="009F4AD1" w:rsidRDefault="009F4AD1" w:rsidP="009F4AD1">
      <w:pPr>
        <w:pStyle w:val="ListParagraph"/>
        <w:numPr>
          <w:ilvl w:val="0"/>
          <w:numId w:val="42"/>
        </w:numPr>
      </w:pPr>
      <w:r>
        <w:t>Analyses of complex mixtures;</w:t>
      </w:r>
    </w:p>
    <w:p w14:paraId="3E85F9B0" w14:textId="132F1824" w:rsidR="009F4AD1" w:rsidRDefault="009F4AD1" w:rsidP="009F4AD1">
      <w:pPr>
        <w:pStyle w:val="ListParagraph"/>
        <w:numPr>
          <w:ilvl w:val="0"/>
          <w:numId w:val="42"/>
        </w:numPr>
      </w:pPr>
      <w:r>
        <w:t xml:space="preserve">Assessment </w:t>
      </w:r>
      <w:r w:rsidR="00E91F71">
        <w:t>of adverse health outcomes in the same cohorts;</w:t>
      </w:r>
    </w:p>
    <w:p w14:paraId="10BDDF9F" w14:textId="655AF9F2" w:rsidR="00E91F71" w:rsidRDefault="00E91F71" w:rsidP="009F4AD1">
      <w:pPr>
        <w:pStyle w:val="ListParagraph"/>
        <w:numPr>
          <w:ilvl w:val="0"/>
          <w:numId w:val="42"/>
        </w:numPr>
      </w:pPr>
      <w:r>
        <w:t>Good quality toxicity data to identify hazardous chemicals</w:t>
      </w:r>
      <w:r w:rsidR="00E82F2F">
        <w:t>;</w:t>
      </w:r>
    </w:p>
    <w:p w14:paraId="6E33B5D1" w14:textId="3A02C694" w:rsidR="00E82F2F" w:rsidRDefault="00E82F2F" w:rsidP="009F4AD1">
      <w:pPr>
        <w:pStyle w:val="ListParagraph"/>
        <w:numPr>
          <w:ilvl w:val="0"/>
          <w:numId w:val="42"/>
        </w:numPr>
      </w:pPr>
      <w:r>
        <w:t>Long term resources to follow temporal trends</w:t>
      </w:r>
      <w:r w:rsidR="0016186A">
        <w:t xml:space="preserve"> and evaluate risk management measures.</w:t>
      </w:r>
    </w:p>
    <w:p w14:paraId="1788F070" w14:textId="1B4B3FE6" w:rsidR="00C34664" w:rsidRPr="00B21E81" w:rsidRDefault="00075295" w:rsidP="00C34664">
      <w:r>
        <w:t>EDC-MixRisk recommend</w:t>
      </w:r>
      <w:r w:rsidR="000E20E3">
        <w:t xml:space="preserve">s that legislative measures </w:t>
      </w:r>
      <w:r w:rsidR="00FE324D">
        <w:t xml:space="preserve">should be taken to ensure full insight into which chemicals are used in products, materials and articles on the European market. </w:t>
      </w:r>
      <w:r w:rsidR="006A2CD6">
        <w:t>It is suggested that this wold enable the allocation of research efforts to chem</w:t>
      </w:r>
      <w:r w:rsidR="00261C41">
        <w:t>icals</w:t>
      </w:r>
      <w:r w:rsidR="00AE5786">
        <w:t xml:space="preserve"> and mixtures of concern, increasing the diversity of chemicals under scrutiny</w:t>
      </w:r>
      <w:r w:rsidR="001E2206">
        <w:t xml:space="preserve"> and promote informed consumer purchasing decisions</w:t>
      </w:r>
      <w:r w:rsidR="00DE221C">
        <w:t>. Innovations at the cross section of science and policy making should be facilitated by creating platforms for collaboration between regulatory</w:t>
      </w:r>
      <w:r w:rsidR="00281100">
        <w:t xml:space="preserve"> agencies, industry and academia. </w:t>
      </w:r>
      <w:r w:rsidR="00281100">
        <w:fldChar w:fldCharType="begin" w:fldLock="1"/>
      </w:r>
      <w:r w:rsidR="006F7DBC">
        <w:instrText>ADDIN CSL_CITATION {"citationItems":[{"id":"ITEM-1","itemData":{"author":[{"dropping-particle":"","family":"Berman","given":"A","non-dropping-particle":"","parse-names":false,"suffix":""},{"dropping-particle":"","family":"Rüegg","given":"J","non-dropping-particle":"","parse-names":false,"suffix":""},{"dropping-particle":"","family":"Öberg","given":"M","non-dropping-particle":"","parse-names":false,"suffix":""},{"dropping-particle":"","family":"Drakvik","given":"E","non-dropping-particle":"","parse-names":false,"suffix":""},{"dropping-particle":"","family":"Jönsson","given":"M","non-dropping-particle":"","parse-names":false,"suffix":""},{"dropping-particle":"","family":"Rudén","given":"C","non-dropping-particle":"","parse-names":false,"suffix":""},{"dropping-particle":"","family":"Bornehag","given":"C-G","non-dropping-particle":"","parse-names":false,"suffix":""},{"dropping-particle":"","family":"Lindh","given":"C","non-dropping-particle":"","parse-names":false,"suffix":""},{"dropping-particle":"","family":"Sturve","given":"J","non-dropping-particle":"","parse-names":false,"suffix":""},{"dropping-particle":"","family":"Nånberg","given":"E","non-dropping-particle":"","parse-names":false,"suffix":""},{"dropping-particle":"","family":"Demeneix","given":"B","non-dropping-particle":"","parse-names":false,"suffix":""},{"dropping-particle":"","family":"Fini","given":"J-B","non-dropping-particle":"","parse-names":false,"suffix":""},{"dropping-particle":"","family":"Kiess","given":"W","non-dropping-particle":"","parse-names":false,"suffix":""},{"dropping-particle":"","family":"Kitraki","given":"E","non-dropping-particle":"","parse-names":false,"suffix":""},{"dropping-particle":"","family":"Kiviranta","given":"H","non-dropping-particle":"","parse-names":false,"suffix":""},{"dropping-particle":"","family":"Testa","given":"G","non-dropping-particle":"","parse-names":false,"suffix":""},{"dropping-particle":"","family":"Gennings","given":"C","non-dropping-particle":"","parse-names":false,"suffix":""}],"id":"ITEM-1","issued":{"date-parts":[["2019"]]},"title":"EDC-MixRiskPolicy Brief","type":"report"},"uris":["http://www.mendeley.com/documents/?uuid=8b6d4f0b-b6fd-4534-9ee9-ab86552aa55f"]}],"mendeley":{"formattedCitation":"(Berman &lt;i&gt;et al.&lt;/i&gt;, 2019)","plainTextFormattedCitation":"(Berman et al., 2019)","previouslyFormattedCitation":"(Berman &lt;i&gt;et al.&lt;/i&gt;, 2019)"},"properties":{"noteIndex":0},"schema":"https://github.com/citation-style-language/schema/raw/master/csl-citation.json"}</w:instrText>
      </w:r>
      <w:r w:rsidR="00281100">
        <w:fldChar w:fldCharType="separate"/>
      </w:r>
      <w:r w:rsidR="00281100" w:rsidRPr="00281100">
        <w:rPr>
          <w:noProof/>
        </w:rPr>
        <w:t xml:space="preserve">(Berman </w:t>
      </w:r>
      <w:r w:rsidR="00281100" w:rsidRPr="00281100">
        <w:rPr>
          <w:i/>
          <w:noProof/>
        </w:rPr>
        <w:t>et al.</w:t>
      </w:r>
      <w:r w:rsidR="00281100" w:rsidRPr="00281100">
        <w:rPr>
          <w:noProof/>
        </w:rPr>
        <w:t>, 2019)</w:t>
      </w:r>
      <w:r w:rsidR="00281100">
        <w:fldChar w:fldCharType="end"/>
      </w:r>
    </w:p>
    <w:p w14:paraId="35F781B7" w14:textId="0D39A382" w:rsidR="00E01A75" w:rsidRPr="00415CD5" w:rsidRDefault="00E01A75" w:rsidP="00384510">
      <w:r w:rsidRPr="00415CD5">
        <w:br w:type="page"/>
      </w:r>
    </w:p>
    <w:p w14:paraId="771ABC12" w14:textId="77777777" w:rsidR="00E01A75" w:rsidRDefault="00E01A75" w:rsidP="00E01A75">
      <w:pPr>
        <w:sectPr w:rsidR="00E01A75" w:rsidSect="001E6173">
          <w:pgSz w:w="11906" w:h="16838"/>
          <w:pgMar w:top="1418" w:right="1440" w:bottom="851" w:left="1440" w:header="709" w:footer="709" w:gutter="0"/>
          <w:cols w:space="708"/>
          <w:docGrid w:linePitch="360"/>
        </w:sectPr>
      </w:pPr>
    </w:p>
    <w:p w14:paraId="2DC82CE8" w14:textId="41B28280" w:rsidR="005E5696" w:rsidRDefault="005E5696" w:rsidP="005E5696">
      <w:pPr>
        <w:pStyle w:val="Heading1"/>
      </w:pPr>
      <w:bookmarkStart w:id="6" w:name="_Toc26965000"/>
      <w:r>
        <w:lastRenderedPageBreak/>
        <w:t>References</w:t>
      </w:r>
      <w:bookmarkEnd w:id="6"/>
    </w:p>
    <w:sdt>
      <w:sdtPr>
        <w:id w:val="-573587230"/>
        <w:bibliography/>
      </w:sdtPr>
      <w:sdtContent>
        <w:p w14:paraId="3C0AE83F" w14:textId="6599BDE6" w:rsidR="009E689C" w:rsidRPr="009E689C" w:rsidRDefault="009E689C" w:rsidP="009E689C">
          <w:pPr>
            <w:widowControl w:val="0"/>
            <w:autoSpaceDE w:val="0"/>
            <w:autoSpaceDN w:val="0"/>
            <w:adjustRightInd w:val="0"/>
            <w:rPr>
              <w:rFonts w:ascii="Calibri" w:hAnsi="Calibri" w:cs="Calibri"/>
              <w:noProof/>
              <w:szCs w:val="24"/>
            </w:rPr>
          </w:pPr>
          <w:r>
            <w:fldChar w:fldCharType="begin" w:fldLock="1"/>
          </w:r>
          <w:r>
            <w:instrText xml:space="preserve">ADDIN Mendeley Bibliography CSL_BIBLIOGRAPHY </w:instrText>
          </w:r>
          <w:r>
            <w:fldChar w:fldCharType="separate"/>
          </w:r>
          <w:r w:rsidRPr="009E689C">
            <w:rPr>
              <w:rFonts w:ascii="Calibri" w:hAnsi="Calibri" w:cs="Calibri"/>
              <w:noProof/>
              <w:szCs w:val="24"/>
            </w:rPr>
            <w:t xml:space="preserve">Berman, A. </w:t>
          </w:r>
          <w:r w:rsidRPr="009E689C">
            <w:rPr>
              <w:rFonts w:ascii="Calibri" w:hAnsi="Calibri" w:cs="Calibri"/>
              <w:i/>
              <w:iCs/>
              <w:noProof/>
              <w:szCs w:val="24"/>
            </w:rPr>
            <w:t>et al.</w:t>
          </w:r>
          <w:r w:rsidRPr="009E689C">
            <w:rPr>
              <w:rFonts w:ascii="Calibri" w:hAnsi="Calibri" w:cs="Calibri"/>
              <w:noProof/>
              <w:szCs w:val="24"/>
            </w:rPr>
            <w:t xml:space="preserve"> (2019) </w:t>
          </w:r>
          <w:r w:rsidRPr="009E689C">
            <w:rPr>
              <w:rFonts w:ascii="Calibri" w:hAnsi="Calibri" w:cs="Calibri"/>
              <w:i/>
              <w:iCs/>
              <w:noProof/>
              <w:szCs w:val="24"/>
            </w:rPr>
            <w:t>EDC-MixRiskPolicy Brief</w:t>
          </w:r>
          <w:r w:rsidRPr="009E689C">
            <w:rPr>
              <w:rFonts w:ascii="Calibri" w:hAnsi="Calibri" w:cs="Calibri"/>
              <w:noProof/>
              <w:szCs w:val="24"/>
            </w:rPr>
            <w:t>. Available at: https://edcmixrisk.ki.se/wp-content/uploads/sites/34/2019/03/Policy-Brief-EDC-MixRisk-PRINTED-190322.pdf.</w:t>
          </w:r>
        </w:p>
        <w:p w14:paraId="097C9F2B" w14:textId="77777777" w:rsidR="009E689C" w:rsidRPr="009E689C" w:rsidRDefault="009E689C" w:rsidP="009E689C">
          <w:pPr>
            <w:widowControl w:val="0"/>
            <w:autoSpaceDE w:val="0"/>
            <w:autoSpaceDN w:val="0"/>
            <w:adjustRightInd w:val="0"/>
            <w:rPr>
              <w:rFonts w:ascii="Calibri" w:hAnsi="Calibri" w:cs="Calibri"/>
              <w:noProof/>
              <w:szCs w:val="24"/>
            </w:rPr>
          </w:pPr>
          <w:r w:rsidRPr="009E689C">
            <w:rPr>
              <w:rFonts w:ascii="Calibri" w:hAnsi="Calibri" w:cs="Calibri"/>
              <w:noProof/>
              <w:szCs w:val="24"/>
            </w:rPr>
            <w:t xml:space="preserve">European Commission (2012) </w:t>
          </w:r>
          <w:r w:rsidRPr="009E689C">
            <w:rPr>
              <w:rFonts w:ascii="Calibri" w:hAnsi="Calibri" w:cs="Calibri"/>
              <w:i/>
              <w:iCs/>
              <w:noProof/>
              <w:szCs w:val="24"/>
            </w:rPr>
            <w:t>Communication from the Commission to the Council: The combination effects of chemicals - Chemical Mixtures</w:t>
          </w:r>
          <w:r w:rsidRPr="009E689C">
            <w:rPr>
              <w:rFonts w:ascii="Calibri" w:hAnsi="Calibri" w:cs="Calibri"/>
              <w:noProof/>
              <w:szCs w:val="24"/>
            </w:rPr>
            <w:t>. Available at: https://eur-lex.europa.eu/legal-content/EN/TXT/?uri=CELEX%3A52012DC0252.</w:t>
          </w:r>
        </w:p>
        <w:p w14:paraId="0CF2E5C7" w14:textId="77777777" w:rsidR="009E689C" w:rsidRPr="009E689C" w:rsidRDefault="009E689C" w:rsidP="009E689C">
          <w:pPr>
            <w:widowControl w:val="0"/>
            <w:autoSpaceDE w:val="0"/>
            <w:autoSpaceDN w:val="0"/>
            <w:adjustRightInd w:val="0"/>
            <w:rPr>
              <w:rFonts w:ascii="Calibri" w:hAnsi="Calibri" w:cs="Calibri"/>
              <w:noProof/>
              <w:szCs w:val="24"/>
            </w:rPr>
          </w:pPr>
          <w:r w:rsidRPr="009E689C">
            <w:rPr>
              <w:rFonts w:ascii="Calibri" w:hAnsi="Calibri" w:cs="Calibri"/>
              <w:noProof/>
              <w:szCs w:val="24"/>
            </w:rPr>
            <w:t xml:space="preserve">JRC (2018) </w:t>
          </w:r>
          <w:r w:rsidRPr="009E689C">
            <w:rPr>
              <w:rFonts w:ascii="Calibri" w:hAnsi="Calibri" w:cs="Calibri"/>
              <w:i/>
              <w:iCs/>
              <w:noProof/>
              <w:szCs w:val="24"/>
            </w:rPr>
            <w:t>JRC Science For Policy Brief: Science from nothing? Ensuring the safety of chemical mixtures</w:t>
          </w:r>
          <w:r w:rsidRPr="009E689C">
            <w:rPr>
              <w:rFonts w:ascii="Calibri" w:hAnsi="Calibri" w:cs="Calibri"/>
              <w:noProof/>
              <w:szCs w:val="24"/>
            </w:rPr>
            <w:t>. Available at: https://ec.europa.eu/jrc/en/publication/something-nothing-ensuring-safety-chemical-mixtures.</w:t>
          </w:r>
        </w:p>
        <w:p w14:paraId="5D65BCC3" w14:textId="44D184ED" w:rsidR="009E689C" w:rsidRDefault="009E689C" w:rsidP="009E689C">
          <w:pPr>
            <w:widowControl w:val="0"/>
            <w:autoSpaceDE w:val="0"/>
            <w:autoSpaceDN w:val="0"/>
            <w:adjustRightInd w:val="0"/>
            <w:rPr>
              <w:rFonts w:ascii="Calibri" w:hAnsi="Calibri" w:cs="Calibri"/>
              <w:noProof/>
              <w:szCs w:val="24"/>
            </w:rPr>
          </w:pPr>
          <w:r w:rsidRPr="009E689C">
            <w:rPr>
              <w:rFonts w:ascii="Calibri" w:hAnsi="Calibri" w:cs="Calibri"/>
              <w:noProof/>
              <w:szCs w:val="24"/>
            </w:rPr>
            <w:t xml:space="preserve">Kienzler, A. </w:t>
          </w:r>
          <w:r w:rsidRPr="009E689C">
            <w:rPr>
              <w:rFonts w:ascii="Calibri" w:hAnsi="Calibri" w:cs="Calibri"/>
              <w:i/>
              <w:iCs/>
              <w:noProof/>
              <w:szCs w:val="24"/>
            </w:rPr>
            <w:t>et al.</w:t>
          </w:r>
          <w:r w:rsidRPr="009E689C">
            <w:rPr>
              <w:rFonts w:ascii="Calibri" w:hAnsi="Calibri" w:cs="Calibri"/>
              <w:noProof/>
              <w:szCs w:val="24"/>
            </w:rPr>
            <w:t xml:space="preserve"> (2014) </w:t>
          </w:r>
          <w:r w:rsidRPr="009E689C">
            <w:rPr>
              <w:rFonts w:ascii="Calibri" w:hAnsi="Calibri" w:cs="Calibri"/>
              <w:i/>
              <w:iCs/>
              <w:noProof/>
              <w:szCs w:val="24"/>
            </w:rPr>
            <w:t>Assessment of Mixtures - Review of regulatory requirements and guidance</w:t>
          </w:r>
          <w:r w:rsidRPr="009E689C">
            <w:rPr>
              <w:rFonts w:ascii="Calibri" w:hAnsi="Calibri" w:cs="Calibri"/>
              <w:noProof/>
              <w:szCs w:val="24"/>
            </w:rPr>
            <w:t>. Available at: https://ec.europa.eu/jrc/en/publication/eur-scientific-and-technical-research-reports/assessment-mixtures-review-regulatory-requirements-and-guidance.</w:t>
          </w:r>
        </w:p>
        <w:p w14:paraId="1BED1091" w14:textId="77777777" w:rsidR="009E689C" w:rsidRDefault="009E689C" w:rsidP="009E689C">
          <w:pPr>
            <w:widowControl w:val="0"/>
            <w:autoSpaceDE w:val="0"/>
            <w:autoSpaceDN w:val="0"/>
            <w:adjustRightInd w:val="0"/>
            <w:rPr>
              <w:rFonts w:ascii="Calibri" w:hAnsi="Calibri" w:cs="Calibri"/>
              <w:noProof/>
            </w:rPr>
            <w:sectPr w:rsidR="009E689C" w:rsidSect="00E01A75">
              <w:footerReference w:type="default" r:id="rId17"/>
              <w:pgSz w:w="11906" w:h="16838"/>
              <w:pgMar w:top="1418" w:right="1440" w:bottom="851" w:left="1440" w:header="709" w:footer="709" w:gutter="0"/>
              <w:cols w:space="708"/>
              <w:docGrid w:linePitch="360"/>
            </w:sectPr>
          </w:pPr>
        </w:p>
        <w:p w14:paraId="34E5444D" w14:textId="44FC3E41" w:rsidR="009E689C" w:rsidRPr="009E689C" w:rsidRDefault="009E689C" w:rsidP="009E689C">
          <w:pPr>
            <w:widowControl w:val="0"/>
            <w:autoSpaceDE w:val="0"/>
            <w:autoSpaceDN w:val="0"/>
            <w:adjustRightInd w:val="0"/>
            <w:rPr>
              <w:rFonts w:ascii="Calibri" w:hAnsi="Calibri" w:cs="Calibri"/>
              <w:noProof/>
            </w:rPr>
          </w:pPr>
        </w:p>
        <w:p w14:paraId="7BB37EC7" w14:textId="2BD36F62" w:rsidR="005445EA" w:rsidRDefault="009E689C" w:rsidP="009E689C">
          <w:pPr>
            <w:pStyle w:val="Bibliography"/>
            <w:ind w:left="720" w:hanging="720"/>
          </w:pPr>
          <w:r>
            <w:fldChar w:fldCharType="end"/>
          </w:r>
        </w:p>
      </w:sdtContent>
    </w:sdt>
    <w:p w14:paraId="69F6A497" w14:textId="57A74356" w:rsidR="009160EA" w:rsidRDefault="009160EA" w:rsidP="009160EA">
      <w:pPr>
        <w:jc w:val="right"/>
      </w:pPr>
      <w:bookmarkStart w:id="7" w:name="_Toc7020917"/>
      <w:bookmarkStart w:id="8" w:name="_Toc7020918"/>
      <w:bookmarkStart w:id="9" w:name="_Toc7020919"/>
      <w:bookmarkStart w:id="10" w:name="_Toc7020920"/>
      <w:bookmarkStart w:id="11" w:name="_Toc7020921"/>
      <w:bookmarkStart w:id="12" w:name="_Toc7020922"/>
      <w:bookmarkStart w:id="13" w:name="_Toc7020923"/>
      <w:bookmarkStart w:id="14" w:name="_Toc7020924"/>
      <w:bookmarkStart w:id="15" w:name="_Toc7020925"/>
      <w:bookmarkStart w:id="16" w:name="_Toc7020926"/>
      <w:bookmarkStart w:id="17" w:name="_Toc7020927"/>
      <w:bookmarkStart w:id="18" w:name="_Toc7020928"/>
      <w:bookmarkStart w:id="19" w:name="_Toc7020929"/>
      <w:bookmarkStart w:id="20" w:name="_Toc7020930"/>
      <w:bookmarkStart w:id="21" w:name="_Toc7020931"/>
      <w:bookmarkStart w:id="22" w:name="_Toc7020932"/>
      <w:bookmarkStart w:id="23" w:name="_Toc7020933"/>
      <w:bookmarkStart w:id="24" w:name="_Toc7020934"/>
      <w:bookmarkStart w:id="25" w:name="_Toc7020935"/>
      <w:bookmarkStart w:id="26" w:name="_Toc7020936"/>
      <w:bookmarkStart w:id="27" w:name="_Toc7020937"/>
      <w:bookmarkStart w:id="28" w:name="_Toc702093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6CF1C40" w14:textId="2C5DCB83" w:rsidR="00641E47" w:rsidRDefault="00641E47" w:rsidP="009160EA">
      <w:pPr>
        <w:jc w:val="right"/>
      </w:pPr>
    </w:p>
    <w:p w14:paraId="255528F9" w14:textId="31C73F9A" w:rsidR="00641E47" w:rsidRDefault="00641E47" w:rsidP="009160EA">
      <w:pPr>
        <w:jc w:val="right"/>
      </w:pPr>
    </w:p>
    <w:p w14:paraId="43DFCF96" w14:textId="518F545B" w:rsidR="00641E47" w:rsidRDefault="00641E47" w:rsidP="009160EA">
      <w:pPr>
        <w:jc w:val="right"/>
      </w:pPr>
    </w:p>
    <w:p w14:paraId="02A40BC4" w14:textId="22C2AFD0" w:rsidR="00641E47" w:rsidRDefault="00641E47" w:rsidP="009160EA">
      <w:pPr>
        <w:jc w:val="right"/>
      </w:pPr>
    </w:p>
    <w:p w14:paraId="21DF8D77" w14:textId="5ED657EA" w:rsidR="00641E47" w:rsidRDefault="00641E47" w:rsidP="009160EA">
      <w:pPr>
        <w:jc w:val="right"/>
      </w:pPr>
    </w:p>
    <w:p w14:paraId="5FF78805" w14:textId="40928933" w:rsidR="00641E47" w:rsidRDefault="00641E47" w:rsidP="009160EA">
      <w:pPr>
        <w:jc w:val="right"/>
      </w:pPr>
    </w:p>
    <w:p w14:paraId="50A63FD8" w14:textId="1064961A" w:rsidR="00641E47" w:rsidRDefault="00641E47" w:rsidP="009160EA">
      <w:pPr>
        <w:jc w:val="right"/>
      </w:pPr>
    </w:p>
    <w:p w14:paraId="7DDF126C" w14:textId="6C0910A0" w:rsidR="00641E47" w:rsidRDefault="00641E47" w:rsidP="009160EA">
      <w:pPr>
        <w:jc w:val="right"/>
      </w:pPr>
    </w:p>
    <w:p w14:paraId="32CFC888" w14:textId="6F18689F" w:rsidR="00641E47" w:rsidRDefault="00641E47" w:rsidP="009160EA">
      <w:pPr>
        <w:jc w:val="right"/>
      </w:pPr>
    </w:p>
    <w:p w14:paraId="16728663" w14:textId="2AEB723C" w:rsidR="00641E47" w:rsidRDefault="00641E47" w:rsidP="009160EA">
      <w:pPr>
        <w:jc w:val="right"/>
      </w:pPr>
    </w:p>
    <w:p w14:paraId="258A410A" w14:textId="0A904C31" w:rsidR="00641E47" w:rsidRDefault="00641E47" w:rsidP="009160EA">
      <w:pPr>
        <w:jc w:val="right"/>
      </w:pPr>
    </w:p>
    <w:p w14:paraId="5CC7997D" w14:textId="246984A4" w:rsidR="00641E47" w:rsidRDefault="00641E47" w:rsidP="009160EA">
      <w:pPr>
        <w:jc w:val="right"/>
      </w:pPr>
    </w:p>
    <w:p w14:paraId="7F1248D6" w14:textId="49B9500B" w:rsidR="00641E47" w:rsidRDefault="00641E47" w:rsidP="009160EA">
      <w:pPr>
        <w:jc w:val="right"/>
      </w:pPr>
    </w:p>
    <w:p w14:paraId="65409D78" w14:textId="7004D36F" w:rsidR="00641E47" w:rsidRDefault="00641E47" w:rsidP="009160EA">
      <w:pPr>
        <w:jc w:val="right"/>
      </w:pPr>
    </w:p>
    <w:p w14:paraId="2913424D" w14:textId="61B8ABB3" w:rsidR="00641E47" w:rsidRDefault="00641E47" w:rsidP="003547F8"/>
    <w:p w14:paraId="624013FF" w14:textId="23DD9942" w:rsidR="00641E47" w:rsidRDefault="00641E47" w:rsidP="003547F8"/>
    <w:p w14:paraId="074D3CB7" w14:textId="391EF3C0" w:rsidR="003547F8" w:rsidRDefault="003547F8" w:rsidP="009160EA">
      <w:pPr>
        <w:jc w:val="right"/>
      </w:pPr>
    </w:p>
    <w:p w14:paraId="7379DA39" w14:textId="77777777" w:rsidR="003547F8" w:rsidRDefault="003547F8" w:rsidP="009160EA">
      <w:pPr>
        <w:jc w:val="right"/>
      </w:pPr>
    </w:p>
    <w:p w14:paraId="63B19562" w14:textId="372B4146" w:rsidR="00641E47" w:rsidRDefault="00641E47" w:rsidP="009160EA">
      <w:pPr>
        <w:jc w:val="right"/>
      </w:pPr>
    </w:p>
    <w:p w14:paraId="29D5C7DF" w14:textId="77777777" w:rsidR="00641E47" w:rsidRDefault="00641E47" w:rsidP="009160EA">
      <w:pPr>
        <w:jc w:val="right"/>
      </w:pPr>
    </w:p>
    <w:p w14:paraId="5ABD692F" w14:textId="298D4EE5" w:rsidR="009160EA" w:rsidRDefault="009160EA" w:rsidP="009160EA">
      <w:pPr>
        <w:jc w:val="right"/>
      </w:pPr>
      <w:r w:rsidRPr="00B331C4">
        <w:rPr>
          <w:b/>
          <w:noProof/>
          <w:sz w:val="44"/>
          <w:szCs w:val="44"/>
          <w:lang w:val="fr-BE" w:eastAsia="fr-BE"/>
        </w:rPr>
        <w:drawing>
          <wp:inline distT="0" distB="0" distL="0" distR="0" wp14:anchorId="4BB659D9" wp14:editId="2DA1AF7A">
            <wp:extent cx="990600" cy="800100"/>
            <wp:effectExtent l="0" t="0" r="0" b="0"/>
            <wp:docPr id="1" name="Picture 6" descr="file:///var/folders/4z/_vny43gn76382d7rzphkx8j80000gn/T/com.microsoft.Word/screenshot.png">
              <a:extLst xmlns:a="http://schemas.openxmlformats.org/drawingml/2006/main">
                <a:ext uri="{FF2B5EF4-FFF2-40B4-BE49-F238E27FC236}">
                  <a16:creationId xmlns:a16="http://schemas.microsoft.com/office/drawing/2014/main" id="{199A73E3-DD53-DD48-B5B2-6ADD2F0A2D4A}"/>
                </a:ext>
              </a:extLst>
            </wp:docPr>
            <wp:cNvGraphicFramePr/>
            <a:graphic xmlns:a="http://schemas.openxmlformats.org/drawingml/2006/main">
              <a:graphicData uri="http://schemas.openxmlformats.org/drawingml/2006/picture">
                <pic:pic xmlns:pic="http://schemas.openxmlformats.org/drawingml/2006/picture">
                  <pic:nvPicPr>
                    <pic:cNvPr id="7" name="Picture 6" descr="file:///var/folders/4z/_vny43gn76382d7rzphkx8j80000gn/T/com.microsoft.Word/screenshot.png">
                      <a:extLst>
                        <a:ext uri="{FF2B5EF4-FFF2-40B4-BE49-F238E27FC236}">
                          <a16:creationId xmlns:a16="http://schemas.microsoft.com/office/drawing/2014/main" id="{199A73E3-DD53-DD48-B5B2-6ADD2F0A2D4A}"/>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990600" cy="800100"/>
                    </a:xfrm>
                    <a:prstGeom prst="rect">
                      <a:avLst/>
                    </a:prstGeom>
                  </pic:spPr>
                </pic:pic>
              </a:graphicData>
            </a:graphic>
          </wp:inline>
        </w:drawing>
      </w:r>
    </w:p>
    <w:p w14:paraId="2F79226B" w14:textId="77777777" w:rsidR="009160EA" w:rsidRPr="003B0853" w:rsidRDefault="009160EA" w:rsidP="009160EA">
      <w:pPr>
        <w:spacing w:after="0"/>
        <w:jc w:val="right"/>
        <w:rPr>
          <w:lang w:val="fr-BE"/>
        </w:rPr>
      </w:pPr>
      <w:r w:rsidRPr="003B0853">
        <w:rPr>
          <w:lang w:val="fr-BE"/>
        </w:rPr>
        <w:t>RPA Europe</w:t>
      </w:r>
    </w:p>
    <w:p w14:paraId="1DBEA9E6" w14:textId="6BCBBB4B" w:rsidR="003547F8" w:rsidRDefault="009160EA" w:rsidP="003547F8">
      <w:pPr>
        <w:spacing w:after="0"/>
        <w:jc w:val="right"/>
        <w:rPr>
          <w:lang w:val="fr-BE"/>
        </w:rPr>
      </w:pPr>
      <w:r w:rsidRPr="003B0853">
        <w:rPr>
          <w:lang w:val="fr-BE"/>
        </w:rPr>
        <w:t xml:space="preserve">Via </w:t>
      </w:r>
      <w:r w:rsidR="00EE762D">
        <w:rPr>
          <w:lang w:val="fr-BE"/>
        </w:rPr>
        <w:t xml:space="preserve">F. </w:t>
      </w:r>
      <w:r w:rsidRPr="003B0853">
        <w:rPr>
          <w:lang w:val="fr-BE"/>
        </w:rPr>
        <w:t>Turati 8, 20121 Milan (Italy)</w:t>
      </w:r>
    </w:p>
    <w:p w14:paraId="2670A192" w14:textId="7D1374E7" w:rsidR="00EE762D" w:rsidRPr="003547F8" w:rsidRDefault="00A85615" w:rsidP="003547F8">
      <w:pPr>
        <w:spacing w:after="0"/>
        <w:jc w:val="right"/>
        <w:rPr>
          <w:lang w:val="fr-BE"/>
        </w:rPr>
      </w:pPr>
      <w:hyperlink r:id="rId18" w:history="1">
        <w:r w:rsidR="00EE762D" w:rsidRPr="00EE762D">
          <w:rPr>
            <w:rStyle w:val="Hyperlink"/>
            <w:lang w:val="fr-BE"/>
          </w:rPr>
          <w:t>www.rpa-europe.eu</w:t>
        </w:r>
      </w:hyperlink>
    </w:p>
    <w:sectPr w:rsidR="00EE762D" w:rsidRPr="003547F8" w:rsidSect="00E01A75">
      <w:pgSz w:w="11906" w:h="16838"/>
      <w:pgMar w:top="141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F15F" w14:textId="77777777" w:rsidR="0039573F" w:rsidRDefault="0039573F" w:rsidP="00D40E67">
      <w:pPr>
        <w:spacing w:after="0"/>
      </w:pPr>
      <w:r>
        <w:separator/>
      </w:r>
    </w:p>
    <w:p w14:paraId="4A1BBB7A" w14:textId="77777777" w:rsidR="0039573F" w:rsidRDefault="0039573F"/>
  </w:endnote>
  <w:endnote w:type="continuationSeparator" w:id="0">
    <w:p w14:paraId="43D87155" w14:textId="77777777" w:rsidR="0039573F" w:rsidRDefault="0039573F" w:rsidP="00D40E67">
      <w:pPr>
        <w:spacing w:after="0"/>
      </w:pPr>
      <w:r>
        <w:continuationSeparator/>
      </w:r>
    </w:p>
    <w:p w14:paraId="61809DA6" w14:textId="77777777" w:rsidR="0039573F" w:rsidRDefault="00395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1261" w14:textId="5A8E6E65" w:rsidR="00A85615" w:rsidRPr="00EF54CF" w:rsidRDefault="00A85615" w:rsidP="00B16DB2">
    <w:pPr>
      <w:spacing w:after="0"/>
      <w:jc w:val="center"/>
      <w:rPr>
        <w:rFonts w:ascii="Calibri" w:hAnsi="Calibri"/>
        <w:color w:val="FF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B58A" w14:textId="37A54680" w:rsidR="00A85615" w:rsidRPr="00EF54CF" w:rsidRDefault="00A85615" w:rsidP="00B16DB2">
    <w:pPr>
      <w:spacing w:after="0"/>
      <w:jc w:val="center"/>
      <w:rPr>
        <w:rFonts w:ascii="Calibri" w:hAnsi="Calibri"/>
        <w:color w:val="FF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3703" w14:textId="77777777" w:rsidR="00A85615" w:rsidRPr="00EF54CF" w:rsidRDefault="00A85615" w:rsidP="00E01A75">
    <w:pPr>
      <w:spacing w:after="0"/>
      <w:jc w:val="center"/>
      <w:rPr>
        <w:rFonts w:ascii="Calibri" w:hAnsi="Calibri"/>
        <w:color w:val="FF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6E48" w14:textId="77777777" w:rsidR="00A85615" w:rsidRDefault="00A85615" w:rsidP="00E01A75">
    <w:pPr>
      <w:spacing w:after="0"/>
      <w:jc w:val="center"/>
    </w:pPr>
  </w:p>
  <w:p w14:paraId="2231A9E2" w14:textId="0529B253" w:rsidR="00A85615" w:rsidRPr="00E35F20" w:rsidRDefault="00F259C9" w:rsidP="00E01A75">
    <w:pPr>
      <w:pStyle w:val="Footer"/>
      <w:pBdr>
        <w:top w:val="single" w:sz="4" w:space="1" w:color="003399"/>
      </w:pBdr>
      <w:tabs>
        <w:tab w:val="clear" w:pos="4513"/>
        <w:tab w:val="clear" w:pos="5846"/>
      </w:tabs>
      <w:jc w:val="center"/>
    </w:pPr>
    <w:r>
      <w:t xml:space="preserve">Chemical </w:t>
    </w:r>
    <w:r w:rsidR="00BB11DF">
      <w:t>Mixtures</w:t>
    </w:r>
  </w:p>
  <w:p w14:paraId="664F01F7" w14:textId="67C62C95" w:rsidR="00A85615" w:rsidRPr="00EF54CF" w:rsidRDefault="00A85615" w:rsidP="00E01A75">
    <w:pPr>
      <w:pBdr>
        <w:top w:val="single" w:sz="4" w:space="1" w:color="003399"/>
      </w:pBdr>
      <w:spacing w:after="0"/>
      <w:jc w:val="center"/>
      <w:rPr>
        <w:rFonts w:ascii="Calibri" w:hAnsi="Calibri"/>
        <w:color w:val="FF0000"/>
        <w:sz w:val="20"/>
        <w:szCs w:val="20"/>
      </w:rPr>
    </w:pPr>
    <w:r w:rsidRPr="00EF54CF">
      <w:rPr>
        <w:rFonts w:ascii="Calibri" w:hAnsi="Calibri"/>
        <w:color w:val="FF0000"/>
        <w:sz w:val="20"/>
        <w:szCs w:val="20"/>
      </w:rPr>
      <w:t>RPA</w:t>
    </w:r>
    <w:r>
      <w:rPr>
        <w:rFonts w:ascii="Calibri" w:hAnsi="Calibri"/>
        <w:color w:val="FF0000"/>
        <w:sz w:val="20"/>
        <w:szCs w:val="20"/>
      </w:rPr>
      <w:t xml:space="preserve"> EUROPE</w:t>
    </w:r>
    <w:r w:rsidRPr="00EF54CF">
      <w:rPr>
        <w:rFonts w:ascii="Calibri" w:hAnsi="Calibri"/>
        <w:sz w:val="20"/>
        <w:szCs w:val="20"/>
      </w:rPr>
      <w:t xml:space="preserve"> | </w:t>
    </w:r>
    <w:r w:rsidRPr="00EF54CF">
      <w:rPr>
        <w:rFonts w:ascii="Calibri" w:hAnsi="Calibri"/>
        <w:sz w:val="20"/>
        <w:szCs w:val="20"/>
      </w:rPr>
      <w:fldChar w:fldCharType="begin"/>
    </w:r>
    <w:r w:rsidRPr="00EF54CF">
      <w:rPr>
        <w:rFonts w:ascii="Calibri" w:hAnsi="Calibri"/>
        <w:sz w:val="20"/>
        <w:szCs w:val="20"/>
      </w:rPr>
      <w:instrText xml:space="preserve"> PAGE   \* MERGEFORMAT </w:instrText>
    </w:r>
    <w:r w:rsidRPr="00EF54CF">
      <w:rPr>
        <w:rFonts w:ascii="Calibri" w:hAnsi="Calibri"/>
        <w:sz w:val="20"/>
        <w:szCs w:val="20"/>
      </w:rPr>
      <w:fldChar w:fldCharType="separate"/>
    </w:r>
    <w:r>
      <w:rPr>
        <w:rFonts w:ascii="Calibri" w:hAnsi="Calibri"/>
        <w:noProof/>
        <w:sz w:val="20"/>
        <w:szCs w:val="20"/>
      </w:rPr>
      <w:t>25</w:t>
    </w:r>
    <w:r w:rsidRPr="00EF54CF">
      <w:rPr>
        <w:rFonts w:ascii="Calibri" w:hAnsi="Calibri"/>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CDED" w14:textId="77777777" w:rsidR="00A85615" w:rsidRDefault="00A85615" w:rsidP="00E01A75">
    <w:pPr>
      <w:spacing w:after="0"/>
      <w:jc w:val="center"/>
    </w:pPr>
  </w:p>
  <w:p w14:paraId="5333D5A8" w14:textId="069882C6" w:rsidR="00A85615" w:rsidRPr="00EF54CF" w:rsidRDefault="00A85615" w:rsidP="003547F8">
    <w:pPr>
      <w:spacing w:after="0"/>
      <w:jc w:val="center"/>
      <w:rPr>
        <w:rFonts w:ascii="Calibri" w:hAnsi="Calibri"/>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086F" w14:textId="77777777" w:rsidR="0039573F" w:rsidRDefault="0039573F" w:rsidP="00D40E67">
      <w:pPr>
        <w:spacing w:after="0"/>
      </w:pPr>
      <w:r>
        <w:separator/>
      </w:r>
    </w:p>
  </w:footnote>
  <w:footnote w:type="continuationSeparator" w:id="0">
    <w:p w14:paraId="5E349A7B" w14:textId="77777777" w:rsidR="0039573F" w:rsidRDefault="0039573F" w:rsidP="00D40E67">
      <w:pPr>
        <w:spacing w:after="0"/>
      </w:pPr>
      <w:r>
        <w:continuationSeparator/>
      </w:r>
    </w:p>
    <w:p w14:paraId="231757D2" w14:textId="77777777" w:rsidR="0039573F" w:rsidRDefault="0039573F" w:rsidP="00896437">
      <w:pPr>
        <w:spacing w:after="0"/>
      </w:pPr>
    </w:p>
  </w:footnote>
  <w:footnote w:type="continuationNotice" w:id="1">
    <w:p w14:paraId="3ECC2956" w14:textId="77777777" w:rsidR="0039573F" w:rsidRDefault="0039573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7E9"/>
    <w:multiLevelType w:val="hybridMultilevel"/>
    <w:tmpl w:val="EA62545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0863622"/>
    <w:multiLevelType w:val="hybridMultilevel"/>
    <w:tmpl w:val="05948064"/>
    <w:lvl w:ilvl="0" w:tplc="F7C6F9A6">
      <w:start w:val="1"/>
      <w:numFmt w:val="decimal"/>
      <w:lvlText w:val="1.%1"/>
      <w:lvlJc w:val="left"/>
      <w:pPr>
        <w:ind w:left="72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C4A85"/>
    <w:multiLevelType w:val="hybridMultilevel"/>
    <w:tmpl w:val="40AECE7C"/>
    <w:lvl w:ilvl="0" w:tplc="900493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676AA0"/>
    <w:multiLevelType w:val="hybridMultilevel"/>
    <w:tmpl w:val="34EA47C0"/>
    <w:lvl w:ilvl="0" w:tplc="F70C4F9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BE5073"/>
    <w:multiLevelType w:val="multilevel"/>
    <w:tmpl w:val="91B679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4282E87"/>
    <w:multiLevelType w:val="hybridMultilevel"/>
    <w:tmpl w:val="461C1F5A"/>
    <w:lvl w:ilvl="0" w:tplc="0809000F">
      <w:start w:val="1"/>
      <w:numFmt w:val="decimal"/>
      <w:lvlText w:val="%1."/>
      <w:lvlJc w:val="left"/>
      <w:pPr>
        <w:ind w:left="72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E0667"/>
    <w:multiLevelType w:val="hybridMultilevel"/>
    <w:tmpl w:val="DA84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01350"/>
    <w:multiLevelType w:val="multilevel"/>
    <w:tmpl w:val="D7A8CC26"/>
    <w:lvl w:ilvl="0">
      <w:start w:val="1"/>
      <w:numFmt w:val="bullet"/>
      <w:pStyle w:val="Bulletlist"/>
      <w:lvlText w:val=""/>
      <w:lvlJc w:val="left"/>
      <w:pPr>
        <w:ind w:left="360" w:hanging="360"/>
      </w:pPr>
      <w:rPr>
        <w:rFonts w:ascii="Symbol" w:hAnsi="Symbol" w:hint="default"/>
        <w:sz w:val="20"/>
      </w:rPr>
    </w:lvl>
    <w:lvl w:ilvl="1">
      <w:start w:val="1"/>
      <w:numFmt w:val="bullet"/>
      <w:pStyle w:val="Bulletlist2"/>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73502B3"/>
    <w:multiLevelType w:val="hybridMultilevel"/>
    <w:tmpl w:val="A80A0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E215D"/>
    <w:multiLevelType w:val="hybridMultilevel"/>
    <w:tmpl w:val="32B4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63D86"/>
    <w:multiLevelType w:val="hybridMultilevel"/>
    <w:tmpl w:val="092E8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144B3"/>
    <w:multiLevelType w:val="multilevel"/>
    <w:tmpl w:val="FBD0E8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68284F"/>
    <w:multiLevelType w:val="multilevel"/>
    <w:tmpl w:val="6FF216B8"/>
    <w:lvl w:ilvl="0">
      <w:start w:val="1"/>
      <w:numFmt w:val="decimal"/>
      <w:pStyle w:val="Annex"/>
      <w:lvlText w:val="Annex %1"/>
      <w:lvlJc w:val="left"/>
      <w:pPr>
        <w:ind w:left="360" w:hanging="360"/>
      </w:pPr>
      <w:rPr>
        <w:rFonts w:asciiTheme="minorHAnsi" w:hAnsiTheme="minorHAnsi" w:hint="default"/>
      </w:rPr>
    </w:lvl>
    <w:lvl w:ilvl="1">
      <w:start w:val="1"/>
      <w:numFmt w:val="decimal"/>
      <w:pStyle w:val="AnnexHeading1"/>
      <w:lvlText w:val="A%1.%2"/>
      <w:lvlJc w:val="left"/>
      <w:pPr>
        <w:ind w:left="1080" w:hanging="360"/>
      </w:pPr>
      <w:rPr>
        <w:rFonts w:asciiTheme="minorHAnsi" w:hAnsiTheme="minorHAnsi" w:hint="default"/>
      </w:rPr>
    </w:lvl>
    <w:lvl w:ilvl="2">
      <w:start w:val="1"/>
      <w:numFmt w:val="decimal"/>
      <w:pStyle w:val="AnnexHeading2"/>
      <w:lvlText w:val="A%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6CD38E3"/>
    <w:multiLevelType w:val="multilevel"/>
    <w:tmpl w:val="FF74C5D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7C26836"/>
    <w:multiLevelType w:val="hybridMultilevel"/>
    <w:tmpl w:val="5B6CD0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200914"/>
    <w:multiLevelType w:val="hybridMultilevel"/>
    <w:tmpl w:val="CD04AB46"/>
    <w:lvl w:ilvl="0" w:tplc="E35A8D16">
      <w:start w:val="210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33610"/>
    <w:multiLevelType w:val="hybridMultilevel"/>
    <w:tmpl w:val="96D6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D3B7C"/>
    <w:multiLevelType w:val="hybridMultilevel"/>
    <w:tmpl w:val="6E56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A6A22"/>
    <w:multiLevelType w:val="hybridMultilevel"/>
    <w:tmpl w:val="D14A8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56C54"/>
    <w:multiLevelType w:val="hybridMultilevel"/>
    <w:tmpl w:val="F9FA8286"/>
    <w:lvl w:ilvl="0" w:tplc="E35A8D16">
      <w:start w:val="21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C170F"/>
    <w:multiLevelType w:val="hybridMultilevel"/>
    <w:tmpl w:val="84764302"/>
    <w:lvl w:ilvl="0" w:tplc="0A165B28">
      <w:start w:val="1"/>
      <w:numFmt w:val="decimal"/>
      <w:lvlText w:val="A.%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7021F3"/>
    <w:multiLevelType w:val="hybridMultilevel"/>
    <w:tmpl w:val="8236E3B6"/>
    <w:lvl w:ilvl="0" w:tplc="4178EC0C">
      <w:start w:val="1"/>
      <w:numFmt w:val="decimal"/>
      <w:pStyle w:val="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A21C0F"/>
    <w:multiLevelType w:val="hybridMultilevel"/>
    <w:tmpl w:val="95B02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E671C"/>
    <w:multiLevelType w:val="multilevel"/>
    <w:tmpl w:val="91B679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7BA772C"/>
    <w:multiLevelType w:val="hybridMultilevel"/>
    <w:tmpl w:val="F78077B2"/>
    <w:lvl w:ilvl="0" w:tplc="E35A8D16">
      <w:start w:val="21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740D6"/>
    <w:multiLevelType w:val="hybridMultilevel"/>
    <w:tmpl w:val="3B56D8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781100"/>
    <w:multiLevelType w:val="hybridMultilevel"/>
    <w:tmpl w:val="B710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30567"/>
    <w:multiLevelType w:val="hybridMultilevel"/>
    <w:tmpl w:val="DDA2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AF68CA"/>
    <w:multiLevelType w:val="multilevel"/>
    <w:tmpl w:val="0D12AFCC"/>
    <w:lvl w:ilvl="0">
      <w:start w:val="1"/>
      <w:numFmt w:val="decimal"/>
      <w:lvlText w:val="Annex %1"/>
      <w:lvlJc w:val="left"/>
      <w:pPr>
        <w:ind w:left="360" w:hanging="360"/>
      </w:pPr>
      <w:rPr>
        <w:rFonts w:hint="default"/>
      </w:rPr>
    </w:lvl>
    <w:lvl w:ilvl="1">
      <w:start w:val="1"/>
      <w:numFmt w:val="decimal"/>
      <w:lvlText w:val="A.%2"/>
      <w:lvlJc w:val="left"/>
      <w:pPr>
        <w:ind w:left="1080" w:hanging="360"/>
      </w:pPr>
      <w:rPr>
        <w:rFonts w:hint="default"/>
      </w:rPr>
    </w:lvl>
    <w:lvl w:ilvl="2">
      <w:start w:val="1"/>
      <w:numFmt w:val="decimal"/>
      <w:lvlText w:val="A%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5F25CA0"/>
    <w:multiLevelType w:val="hybridMultilevel"/>
    <w:tmpl w:val="4B48933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15:restartNumberingAfterBreak="0">
    <w:nsid w:val="5AA7712F"/>
    <w:multiLevelType w:val="multilevel"/>
    <w:tmpl w:val="669861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5C9217A6"/>
    <w:multiLevelType w:val="hybridMultilevel"/>
    <w:tmpl w:val="F0EACA62"/>
    <w:lvl w:ilvl="0" w:tplc="72DAB816">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5A137F"/>
    <w:multiLevelType w:val="hybridMultilevel"/>
    <w:tmpl w:val="4FF03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419C6"/>
    <w:multiLevelType w:val="hybridMultilevel"/>
    <w:tmpl w:val="0298C14A"/>
    <w:lvl w:ilvl="0" w:tplc="E35A8D16">
      <w:start w:val="21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9673F"/>
    <w:multiLevelType w:val="multilevel"/>
    <w:tmpl w:val="669861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69A94964"/>
    <w:multiLevelType w:val="hybridMultilevel"/>
    <w:tmpl w:val="AEF6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E10317"/>
    <w:multiLevelType w:val="hybridMultilevel"/>
    <w:tmpl w:val="216A3982"/>
    <w:lvl w:ilvl="0" w:tplc="E35A8D16">
      <w:start w:val="21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F2928"/>
    <w:multiLevelType w:val="hybridMultilevel"/>
    <w:tmpl w:val="87EE4DD2"/>
    <w:lvl w:ilvl="0" w:tplc="DD9E86A0">
      <w:start w:val="1"/>
      <w:numFmt w:val="decimal"/>
      <w:lvlText w:val="1.%1"/>
      <w:lvlJc w:val="left"/>
      <w:pPr>
        <w:ind w:left="717"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8" w15:restartNumberingAfterBreak="0">
    <w:nsid w:val="6F0F6C96"/>
    <w:multiLevelType w:val="hybridMultilevel"/>
    <w:tmpl w:val="0D88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044FB2"/>
    <w:multiLevelType w:val="hybridMultilevel"/>
    <w:tmpl w:val="2798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95D52"/>
    <w:multiLevelType w:val="hybridMultilevel"/>
    <w:tmpl w:val="B8FC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64D94"/>
    <w:multiLevelType w:val="hybridMultilevel"/>
    <w:tmpl w:val="B8E233AC"/>
    <w:lvl w:ilvl="0" w:tplc="0C7C2D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7"/>
  </w:num>
  <w:num w:numId="3">
    <w:abstractNumId w:val="31"/>
  </w:num>
  <w:num w:numId="4">
    <w:abstractNumId w:val="1"/>
  </w:num>
  <w:num w:numId="5">
    <w:abstractNumId w:val="14"/>
  </w:num>
  <w:num w:numId="6">
    <w:abstractNumId w:val="29"/>
  </w:num>
  <w:num w:numId="7">
    <w:abstractNumId w:val="13"/>
  </w:num>
  <w:num w:numId="8">
    <w:abstractNumId w:val="38"/>
  </w:num>
  <w:num w:numId="9">
    <w:abstractNumId w:val="30"/>
  </w:num>
  <w:num w:numId="10">
    <w:abstractNumId w:val="34"/>
  </w:num>
  <w:num w:numId="11">
    <w:abstractNumId w:val="7"/>
  </w:num>
  <w:num w:numId="12">
    <w:abstractNumId w:val="23"/>
  </w:num>
  <w:num w:numId="13">
    <w:abstractNumId w:val="4"/>
  </w:num>
  <w:num w:numId="14">
    <w:abstractNumId w:val="21"/>
  </w:num>
  <w:num w:numId="15">
    <w:abstractNumId w:val="28"/>
  </w:num>
  <w:num w:numId="16">
    <w:abstractNumId w:val="9"/>
  </w:num>
  <w:num w:numId="17">
    <w:abstractNumId w:val="41"/>
  </w:num>
  <w:num w:numId="18">
    <w:abstractNumId w:val="20"/>
  </w:num>
  <w:num w:numId="19">
    <w:abstractNumId w:val="12"/>
  </w:num>
  <w:num w:numId="20">
    <w:abstractNumId w:val="18"/>
  </w:num>
  <w:num w:numId="21">
    <w:abstractNumId w:val="6"/>
  </w:num>
  <w:num w:numId="22">
    <w:abstractNumId w:val="35"/>
  </w:num>
  <w:num w:numId="23">
    <w:abstractNumId w:val="33"/>
  </w:num>
  <w:num w:numId="24">
    <w:abstractNumId w:val="36"/>
  </w:num>
  <w:num w:numId="25">
    <w:abstractNumId w:val="15"/>
  </w:num>
  <w:num w:numId="26">
    <w:abstractNumId w:val="3"/>
  </w:num>
  <w:num w:numId="27">
    <w:abstractNumId w:val="11"/>
  </w:num>
  <w:num w:numId="28">
    <w:abstractNumId w:val="17"/>
  </w:num>
  <w:num w:numId="29">
    <w:abstractNumId w:val="22"/>
  </w:num>
  <w:num w:numId="30">
    <w:abstractNumId w:val="40"/>
  </w:num>
  <w:num w:numId="31">
    <w:abstractNumId w:val="32"/>
  </w:num>
  <w:num w:numId="32">
    <w:abstractNumId w:val="25"/>
  </w:num>
  <w:num w:numId="33">
    <w:abstractNumId w:val="8"/>
  </w:num>
  <w:num w:numId="34">
    <w:abstractNumId w:val="10"/>
  </w:num>
  <w:num w:numId="35">
    <w:abstractNumId w:val="24"/>
  </w:num>
  <w:num w:numId="36">
    <w:abstractNumId w:val="19"/>
  </w:num>
  <w:num w:numId="37">
    <w:abstractNumId w:val="2"/>
  </w:num>
  <w:num w:numId="38">
    <w:abstractNumId w:val="16"/>
  </w:num>
  <w:num w:numId="39">
    <w:abstractNumId w:val="27"/>
  </w:num>
  <w:num w:numId="40">
    <w:abstractNumId w:val="0"/>
  </w:num>
  <w:num w:numId="41">
    <w:abstractNumId w:val="3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91"/>
    <w:rsid w:val="00000D8C"/>
    <w:rsid w:val="00001A9E"/>
    <w:rsid w:val="00005416"/>
    <w:rsid w:val="00012239"/>
    <w:rsid w:val="00022D8F"/>
    <w:rsid w:val="00024336"/>
    <w:rsid w:val="000265B0"/>
    <w:rsid w:val="000301CD"/>
    <w:rsid w:val="0003686E"/>
    <w:rsid w:val="00043844"/>
    <w:rsid w:val="0004650E"/>
    <w:rsid w:val="00047708"/>
    <w:rsid w:val="000515A6"/>
    <w:rsid w:val="0005526F"/>
    <w:rsid w:val="00055A5A"/>
    <w:rsid w:val="00060828"/>
    <w:rsid w:val="00063BD5"/>
    <w:rsid w:val="00067FDD"/>
    <w:rsid w:val="000721A2"/>
    <w:rsid w:val="00074C4C"/>
    <w:rsid w:val="00075295"/>
    <w:rsid w:val="00084998"/>
    <w:rsid w:val="000949E2"/>
    <w:rsid w:val="00096C39"/>
    <w:rsid w:val="000A34EC"/>
    <w:rsid w:val="000A4F34"/>
    <w:rsid w:val="000B322D"/>
    <w:rsid w:val="000C6E75"/>
    <w:rsid w:val="000D6F1F"/>
    <w:rsid w:val="000E20E3"/>
    <w:rsid w:val="000E3112"/>
    <w:rsid w:val="000E7CC6"/>
    <w:rsid w:val="000F4F9D"/>
    <w:rsid w:val="000F6598"/>
    <w:rsid w:val="00100C71"/>
    <w:rsid w:val="00112DF6"/>
    <w:rsid w:val="00113FE0"/>
    <w:rsid w:val="001161BE"/>
    <w:rsid w:val="0012519F"/>
    <w:rsid w:val="00130D2D"/>
    <w:rsid w:val="0013531B"/>
    <w:rsid w:val="001420F9"/>
    <w:rsid w:val="00144F94"/>
    <w:rsid w:val="00147D04"/>
    <w:rsid w:val="001506EE"/>
    <w:rsid w:val="00160AAF"/>
    <w:rsid w:val="0016186A"/>
    <w:rsid w:val="00161B0E"/>
    <w:rsid w:val="00172E48"/>
    <w:rsid w:val="00173639"/>
    <w:rsid w:val="00175988"/>
    <w:rsid w:val="00183C74"/>
    <w:rsid w:val="00186B32"/>
    <w:rsid w:val="001911EB"/>
    <w:rsid w:val="00192B2A"/>
    <w:rsid w:val="001A3106"/>
    <w:rsid w:val="001B2692"/>
    <w:rsid w:val="001B58B9"/>
    <w:rsid w:val="001B5AD7"/>
    <w:rsid w:val="001B5EA2"/>
    <w:rsid w:val="001D1B06"/>
    <w:rsid w:val="001D3B13"/>
    <w:rsid w:val="001D68DB"/>
    <w:rsid w:val="001E2206"/>
    <w:rsid w:val="001E3A15"/>
    <w:rsid w:val="001E6173"/>
    <w:rsid w:val="001E72D2"/>
    <w:rsid w:val="001F17C1"/>
    <w:rsid w:val="001F6E5B"/>
    <w:rsid w:val="001F76D4"/>
    <w:rsid w:val="00200104"/>
    <w:rsid w:val="00207368"/>
    <w:rsid w:val="00213C93"/>
    <w:rsid w:val="00223061"/>
    <w:rsid w:val="00224196"/>
    <w:rsid w:val="00225694"/>
    <w:rsid w:val="00225EA0"/>
    <w:rsid w:val="00227057"/>
    <w:rsid w:val="00230B5C"/>
    <w:rsid w:val="00233106"/>
    <w:rsid w:val="0023368F"/>
    <w:rsid w:val="002359B6"/>
    <w:rsid w:val="002445C2"/>
    <w:rsid w:val="0024497D"/>
    <w:rsid w:val="00245630"/>
    <w:rsid w:val="00245631"/>
    <w:rsid w:val="002504A3"/>
    <w:rsid w:val="00250E31"/>
    <w:rsid w:val="00254632"/>
    <w:rsid w:val="00257ED6"/>
    <w:rsid w:val="00261C41"/>
    <w:rsid w:val="00261F54"/>
    <w:rsid w:val="00262A02"/>
    <w:rsid w:val="00263308"/>
    <w:rsid w:val="00264838"/>
    <w:rsid w:val="00271A75"/>
    <w:rsid w:val="002729BC"/>
    <w:rsid w:val="00276C75"/>
    <w:rsid w:val="00281100"/>
    <w:rsid w:val="00281FA7"/>
    <w:rsid w:val="00283E03"/>
    <w:rsid w:val="00291CE5"/>
    <w:rsid w:val="00295A33"/>
    <w:rsid w:val="00296A5A"/>
    <w:rsid w:val="00297A5E"/>
    <w:rsid w:val="002A575F"/>
    <w:rsid w:val="002A7082"/>
    <w:rsid w:val="002B3AC8"/>
    <w:rsid w:val="002B48D1"/>
    <w:rsid w:val="002B69F2"/>
    <w:rsid w:val="002C2D08"/>
    <w:rsid w:val="002C4ABF"/>
    <w:rsid w:val="002C67D8"/>
    <w:rsid w:val="002D525F"/>
    <w:rsid w:val="002D66F7"/>
    <w:rsid w:val="002E1EC8"/>
    <w:rsid w:val="002F0D9B"/>
    <w:rsid w:val="002F4B7D"/>
    <w:rsid w:val="002F53A9"/>
    <w:rsid w:val="00306B0C"/>
    <w:rsid w:val="00310A93"/>
    <w:rsid w:val="00317256"/>
    <w:rsid w:val="00320055"/>
    <w:rsid w:val="0032291F"/>
    <w:rsid w:val="00325D58"/>
    <w:rsid w:val="00333F10"/>
    <w:rsid w:val="00337DBD"/>
    <w:rsid w:val="003432B6"/>
    <w:rsid w:val="00350346"/>
    <w:rsid w:val="00353EF5"/>
    <w:rsid w:val="00354066"/>
    <w:rsid w:val="003547F8"/>
    <w:rsid w:val="00371666"/>
    <w:rsid w:val="00374D0E"/>
    <w:rsid w:val="00377E98"/>
    <w:rsid w:val="00384510"/>
    <w:rsid w:val="00387308"/>
    <w:rsid w:val="0039207F"/>
    <w:rsid w:val="0039573F"/>
    <w:rsid w:val="003A3638"/>
    <w:rsid w:val="003A3E4C"/>
    <w:rsid w:val="003A51B4"/>
    <w:rsid w:val="003B0853"/>
    <w:rsid w:val="003B110E"/>
    <w:rsid w:val="003B11E5"/>
    <w:rsid w:val="003B2917"/>
    <w:rsid w:val="003B72BA"/>
    <w:rsid w:val="003B7C94"/>
    <w:rsid w:val="003C4ADF"/>
    <w:rsid w:val="003C7336"/>
    <w:rsid w:val="003D2998"/>
    <w:rsid w:val="003D2A99"/>
    <w:rsid w:val="003D64E3"/>
    <w:rsid w:val="003D776D"/>
    <w:rsid w:val="003E0203"/>
    <w:rsid w:val="003E5DBC"/>
    <w:rsid w:val="003E72EC"/>
    <w:rsid w:val="003F1746"/>
    <w:rsid w:val="003F39C0"/>
    <w:rsid w:val="00413209"/>
    <w:rsid w:val="00415CD5"/>
    <w:rsid w:val="00420492"/>
    <w:rsid w:val="00445F6C"/>
    <w:rsid w:val="00455F5B"/>
    <w:rsid w:val="004561BF"/>
    <w:rsid w:val="00461DB4"/>
    <w:rsid w:val="004633AE"/>
    <w:rsid w:val="0046507F"/>
    <w:rsid w:val="004854D8"/>
    <w:rsid w:val="0048600B"/>
    <w:rsid w:val="0048764E"/>
    <w:rsid w:val="0049177B"/>
    <w:rsid w:val="0049219B"/>
    <w:rsid w:val="00495519"/>
    <w:rsid w:val="00495554"/>
    <w:rsid w:val="004A2389"/>
    <w:rsid w:val="004A489D"/>
    <w:rsid w:val="004A7157"/>
    <w:rsid w:val="004A72FA"/>
    <w:rsid w:val="004B42DA"/>
    <w:rsid w:val="004B638F"/>
    <w:rsid w:val="004B7473"/>
    <w:rsid w:val="004B7D27"/>
    <w:rsid w:val="004D5254"/>
    <w:rsid w:val="004E6443"/>
    <w:rsid w:val="004F1770"/>
    <w:rsid w:val="004F4274"/>
    <w:rsid w:val="004F7E50"/>
    <w:rsid w:val="0050126A"/>
    <w:rsid w:val="00502D0D"/>
    <w:rsid w:val="00505687"/>
    <w:rsid w:val="00507C63"/>
    <w:rsid w:val="00532A7E"/>
    <w:rsid w:val="00542937"/>
    <w:rsid w:val="005445EA"/>
    <w:rsid w:val="005467EB"/>
    <w:rsid w:val="0055092D"/>
    <w:rsid w:val="005512BC"/>
    <w:rsid w:val="0056172D"/>
    <w:rsid w:val="00571AC0"/>
    <w:rsid w:val="005739FB"/>
    <w:rsid w:val="00576BC5"/>
    <w:rsid w:val="00576F9F"/>
    <w:rsid w:val="0058696E"/>
    <w:rsid w:val="00597821"/>
    <w:rsid w:val="005A1FB3"/>
    <w:rsid w:val="005B0E8F"/>
    <w:rsid w:val="005B1C0C"/>
    <w:rsid w:val="005B65D7"/>
    <w:rsid w:val="005B6AA2"/>
    <w:rsid w:val="005B6D8F"/>
    <w:rsid w:val="005B7ED3"/>
    <w:rsid w:val="005C243F"/>
    <w:rsid w:val="005C6E74"/>
    <w:rsid w:val="005C7C57"/>
    <w:rsid w:val="005D2CA5"/>
    <w:rsid w:val="005E053D"/>
    <w:rsid w:val="005E5696"/>
    <w:rsid w:val="005F6A91"/>
    <w:rsid w:val="00604845"/>
    <w:rsid w:val="00612D34"/>
    <w:rsid w:val="00614329"/>
    <w:rsid w:val="00623610"/>
    <w:rsid w:val="00624D71"/>
    <w:rsid w:val="006255B8"/>
    <w:rsid w:val="00625819"/>
    <w:rsid w:val="00630AB9"/>
    <w:rsid w:val="006347E9"/>
    <w:rsid w:val="00636FDC"/>
    <w:rsid w:val="00637918"/>
    <w:rsid w:val="00641B33"/>
    <w:rsid w:val="00641E47"/>
    <w:rsid w:val="00644DDA"/>
    <w:rsid w:val="006462E1"/>
    <w:rsid w:val="00653979"/>
    <w:rsid w:val="00655608"/>
    <w:rsid w:val="00656058"/>
    <w:rsid w:val="00656A6D"/>
    <w:rsid w:val="0065798E"/>
    <w:rsid w:val="006610AE"/>
    <w:rsid w:val="00667FE6"/>
    <w:rsid w:val="00671523"/>
    <w:rsid w:val="00676052"/>
    <w:rsid w:val="00684B0D"/>
    <w:rsid w:val="00686B54"/>
    <w:rsid w:val="006925FA"/>
    <w:rsid w:val="006945C4"/>
    <w:rsid w:val="006A2CD6"/>
    <w:rsid w:val="006A3381"/>
    <w:rsid w:val="006A3B12"/>
    <w:rsid w:val="006A5D45"/>
    <w:rsid w:val="006A6803"/>
    <w:rsid w:val="006B5E6B"/>
    <w:rsid w:val="006C0F35"/>
    <w:rsid w:val="006C321A"/>
    <w:rsid w:val="006C597A"/>
    <w:rsid w:val="006C59BB"/>
    <w:rsid w:val="006D60D0"/>
    <w:rsid w:val="006D6EEB"/>
    <w:rsid w:val="006E1B9E"/>
    <w:rsid w:val="006E7B0D"/>
    <w:rsid w:val="006F7DBC"/>
    <w:rsid w:val="00715F5A"/>
    <w:rsid w:val="00725D73"/>
    <w:rsid w:val="00746669"/>
    <w:rsid w:val="00750C22"/>
    <w:rsid w:val="00754AA4"/>
    <w:rsid w:val="00773301"/>
    <w:rsid w:val="00780CAA"/>
    <w:rsid w:val="00781E5E"/>
    <w:rsid w:val="00787105"/>
    <w:rsid w:val="0079159F"/>
    <w:rsid w:val="007963C4"/>
    <w:rsid w:val="007A0A03"/>
    <w:rsid w:val="007A40FF"/>
    <w:rsid w:val="007B1E49"/>
    <w:rsid w:val="007B63DF"/>
    <w:rsid w:val="007E09B3"/>
    <w:rsid w:val="007E1E29"/>
    <w:rsid w:val="007F2648"/>
    <w:rsid w:val="007F4969"/>
    <w:rsid w:val="00803BAD"/>
    <w:rsid w:val="00807F19"/>
    <w:rsid w:val="00812BEC"/>
    <w:rsid w:val="008157E1"/>
    <w:rsid w:val="008162E7"/>
    <w:rsid w:val="00824153"/>
    <w:rsid w:val="00826A81"/>
    <w:rsid w:val="008304DC"/>
    <w:rsid w:val="008305D6"/>
    <w:rsid w:val="008325C3"/>
    <w:rsid w:val="00834484"/>
    <w:rsid w:val="00835094"/>
    <w:rsid w:val="00835216"/>
    <w:rsid w:val="008359A2"/>
    <w:rsid w:val="00850469"/>
    <w:rsid w:val="00856223"/>
    <w:rsid w:val="0085689D"/>
    <w:rsid w:val="0086117A"/>
    <w:rsid w:val="00876589"/>
    <w:rsid w:val="008826DD"/>
    <w:rsid w:val="0088296F"/>
    <w:rsid w:val="008834CF"/>
    <w:rsid w:val="008919F5"/>
    <w:rsid w:val="00893CA5"/>
    <w:rsid w:val="00894962"/>
    <w:rsid w:val="00896437"/>
    <w:rsid w:val="008A075F"/>
    <w:rsid w:val="008A0DF6"/>
    <w:rsid w:val="008A282B"/>
    <w:rsid w:val="008A3E2F"/>
    <w:rsid w:val="008B571B"/>
    <w:rsid w:val="008C11A7"/>
    <w:rsid w:val="008C3E4A"/>
    <w:rsid w:val="008C3F1E"/>
    <w:rsid w:val="008C6145"/>
    <w:rsid w:val="008D371A"/>
    <w:rsid w:val="008E0F11"/>
    <w:rsid w:val="008F243C"/>
    <w:rsid w:val="008F4916"/>
    <w:rsid w:val="008F4C38"/>
    <w:rsid w:val="008F63F3"/>
    <w:rsid w:val="008F7555"/>
    <w:rsid w:val="0090445E"/>
    <w:rsid w:val="0091335F"/>
    <w:rsid w:val="00914D80"/>
    <w:rsid w:val="009160EA"/>
    <w:rsid w:val="009272F5"/>
    <w:rsid w:val="00934650"/>
    <w:rsid w:val="0094328B"/>
    <w:rsid w:val="00946798"/>
    <w:rsid w:val="00947B36"/>
    <w:rsid w:val="00954255"/>
    <w:rsid w:val="00956E51"/>
    <w:rsid w:val="009624C2"/>
    <w:rsid w:val="00972EAA"/>
    <w:rsid w:val="009840C0"/>
    <w:rsid w:val="0098591C"/>
    <w:rsid w:val="009900E2"/>
    <w:rsid w:val="009903A2"/>
    <w:rsid w:val="0099616B"/>
    <w:rsid w:val="00997283"/>
    <w:rsid w:val="009A0E29"/>
    <w:rsid w:val="009A1D31"/>
    <w:rsid w:val="009A34D4"/>
    <w:rsid w:val="009A5E62"/>
    <w:rsid w:val="009B04C3"/>
    <w:rsid w:val="009B1255"/>
    <w:rsid w:val="009B49A4"/>
    <w:rsid w:val="009C6FC2"/>
    <w:rsid w:val="009C7111"/>
    <w:rsid w:val="009C71C1"/>
    <w:rsid w:val="009D3F2A"/>
    <w:rsid w:val="009D638F"/>
    <w:rsid w:val="009D6A46"/>
    <w:rsid w:val="009E115A"/>
    <w:rsid w:val="009E689C"/>
    <w:rsid w:val="009E7DFB"/>
    <w:rsid w:val="009F48E1"/>
    <w:rsid w:val="009F4AD1"/>
    <w:rsid w:val="00A059C7"/>
    <w:rsid w:val="00A116A8"/>
    <w:rsid w:val="00A17E7F"/>
    <w:rsid w:val="00A2201F"/>
    <w:rsid w:val="00A23CFD"/>
    <w:rsid w:val="00A25D8B"/>
    <w:rsid w:val="00A32305"/>
    <w:rsid w:val="00A32D25"/>
    <w:rsid w:val="00A33F03"/>
    <w:rsid w:val="00A367A7"/>
    <w:rsid w:val="00A41438"/>
    <w:rsid w:val="00A46225"/>
    <w:rsid w:val="00A50C01"/>
    <w:rsid w:val="00A51819"/>
    <w:rsid w:val="00A62070"/>
    <w:rsid w:val="00A6287C"/>
    <w:rsid w:val="00A63506"/>
    <w:rsid w:val="00A636BA"/>
    <w:rsid w:val="00A678E7"/>
    <w:rsid w:val="00A70E3B"/>
    <w:rsid w:val="00A7256C"/>
    <w:rsid w:val="00A72929"/>
    <w:rsid w:val="00A73B75"/>
    <w:rsid w:val="00A85615"/>
    <w:rsid w:val="00A861B3"/>
    <w:rsid w:val="00A86711"/>
    <w:rsid w:val="00A87EDA"/>
    <w:rsid w:val="00A95A18"/>
    <w:rsid w:val="00A963B3"/>
    <w:rsid w:val="00AA3EDB"/>
    <w:rsid w:val="00AA5F34"/>
    <w:rsid w:val="00AA7B79"/>
    <w:rsid w:val="00AB6AA4"/>
    <w:rsid w:val="00AC143B"/>
    <w:rsid w:val="00AC6A9F"/>
    <w:rsid w:val="00AD1637"/>
    <w:rsid w:val="00AD604C"/>
    <w:rsid w:val="00AE5786"/>
    <w:rsid w:val="00AE65AF"/>
    <w:rsid w:val="00AF7395"/>
    <w:rsid w:val="00B112A3"/>
    <w:rsid w:val="00B128F4"/>
    <w:rsid w:val="00B16869"/>
    <w:rsid w:val="00B16DB2"/>
    <w:rsid w:val="00B21E81"/>
    <w:rsid w:val="00B243A6"/>
    <w:rsid w:val="00B25EE7"/>
    <w:rsid w:val="00B26ECD"/>
    <w:rsid w:val="00B314BF"/>
    <w:rsid w:val="00B31A1C"/>
    <w:rsid w:val="00B331C4"/>
    <w:rsid w:val="00B35B54"/>
    <w:rsid w:val="00B42595"/>
    <w:rsid w:val="00B435A9"/>
    <w:rsid w:val="00B46019"/>
    <w:rsid w:val="00B46D35"/>
    <w:rsid w:val="00B53277"/>
    <w:rsid w:val="00B5391E"/>
    <w:rsid w:val="00B55D91"/>
    <w:rsid w:val="00B606EE"/>
    <w:rsid w:val="00B62026"/>
    <w:rsid w:val="00B63AA3"/>
    <w:rsid w:val="00B669AB"/>
    <w:rsid w:val="00B67C21"/>
    <w:rsid w:val="00B7556D"/>
    <w:rsid w:val="00B779EE"/>
    <w:rsid w:val="00B82387"/>
    <w:rsid w:val="00B85E6F"/>
    <w:rsid w:val="00B87611"/>
    <w:rsid w:val="00B90728"/>
    <w:rsid w:val="00B940A4"/>
    <w:rsid w:val="00B95004"/>
    <w:rsid w:val="00B954F2"/>
    <w:rsid w:val="00BA0267"/>
    <w:rsid w:val="00BA4912"/>
    <w:rsid w:val="00BA52E9"/>
    <w:rsid w:val="00BA70AC"/>
    <w:rsid w:val="00BB11DF"/>
    <w:rsid w:val="00BB6C16"/>
    <w:rsid w:val="00BC0ACA"/>
    <w:rsid w:val="00BC2038"/>
    <w:rsid w:val="00BC3213"/>
    <w:rsid w:val="00BC4B8C"/>
    <w:rsid w:val="00BC5E12"/>
    <w:rsid w:val="00BC739E"/>
    <w:rsid w:val="00BE14E6"/>
    <w:rsid w:val="00BE354C"/>
    <w:rsid w:val="00BE6D82"/>
    <w:rsid w:val="00BE7781"/>
    <w:rsid w:val="00BF2038"/>
    <w:rsid w:val="00BF502E"/>
    <w:rsid w:val="00BF5552"/>
    <w:rsid w:val="00BF6BDB"/>
    <w:rsid w:val="00BF6E01"/>
    <w:rsid w:val="00C02C84"/>
    <w:rsid w:val="00C04FEA"/>
    <w:rsid w:val="00C15233"/>
    <w:rsid w:val="00C172BB"/>
    <w:rsid w:val="00C17EA6"/>
    <w:rsid w:val="00C31791"/>
    <w:rsid w:val="00C34184"/>
    <w:rsid w:val="00C34664"/>
    <w:rsid w:val="00C36589"/>
    <w:rsid w:val="00C37D44"/>
    <w:rsid w:val="00C418EA"/>
    <w:rsid w:val="00C520A7"/>
    <w:rsid w:val="00C52A51"/>
    <w:rsid w:val="00C55CF4"/>
    <w:rsid w:val="00C668BF"/>
    <w:rsid w:val="00C70E2B"/>
    <w:rsid w:val="00C7126F"/>
    <w:rsid w:val="00C73410"/>
    <w:rsid w:val="00C82349"/>
    <w:rsid w:val="00C825B3"/>
    <w:rsid w:val="00C85379"/>
    <w:rsid w:val="00C939E8"/>
    <w:rsid w:val="00C94BD3"/>
    <w:rsid w:val="00C9596A"/>
    <w:rsid w:val="00CA1938"/>
    <w:rsid w:val="00CB06E7"/>
    <w:rsid w:val="00CB1C81"/>
    <w:rsid w:val="00CB4B52"/>
    <w:rsid w:val="00CC2C24"/>
    <w:rsid w:val="00CC6328"/>
    <w:rsid w:val="00CD7A5E"/>
    <w:rsid w:val="00CE4306"/>
    <w:rsid w:val="00CE6479"/>
    <w:rsid w:val="00CF77DA"/>
    <w:rsid w:val="00D03756"/>
    <w:rsid w:val="00D05495"/>
    <w:rsid w:val="00D06033"/>
    <w:rsid w:val="00D0716D"/>
    <w:rsid w:val="00D111A6"/>
    <w:rsid w:val="00D111C8"/>
    <w:rsid w:val="00D11E8E"/>
    <w:rsid w:val="00D170EA"/>
    <w:rsid w:val="00D2048B"/>
    <w:rsid w:val="00D3518D"/>
    <w:rsid w:val="00D40E67"/>
    <w:rsid w:val="00D42917"/>
    <w:rsid w:val="00D5051B"/>
    <w:rsid w:val="00D60BB6"/>
    <w:rsid w:val="00D60D43"/>
    <w:rsid w:val="00D61FB9"/>
    <w:rsid w:val="00D666C8"/>
    <w:rsid w:val="00D700A6"/>
    <w:rsid w:val="00D7125B"/>
    <w:rsid w:val="00D72009"/>
    <w:rsid w:val="00D73CC2"/>
    <w:rsid w:val="00D76BD4"/>
    <w:rsid w:val="00D86B41"/>
    <w:rsid w:val="00D90474"/>
    <w:rsid w:val="00D91ABE"/>
    <w:rsid w:val="00D92F36"/>
    <w:rsid w:val="00DA0338"/>
    <w:rsid w:val="00DA6285"/>
    <w:rsid w:val="00DA7C9E"/>
    <w:rsid w:val="00DB513D"/>
    <w:rsid w:val="00DD4A46"/>
    <w:rsid w:val="00DE221C"/>
    <w:rsid w:val="00DE3735"/>
    <w:rsid w:val="00DE66DB"/>
    <w:rsid w:val="00DE7174"/>
    <w:rsid w:val="00DF41C0"/>
    <w:rsid w:val="00DF4D8D"/>
    <w:rsid w:val="00DF51AA"/>
    <w:rsid w:val="00E01A75"/>
    <w:rsid w:val="00E03D8B"/>
    <w:rsid w:val="00E050E4"/>
    <w:rsid w:val="00E135EA"/>
    <w:rsid w:val="00E247DF"/>
    <w:rsid w:val="00E3157C"/>
    <w:rsid w:val="00E31EFE"/>
    <w:rsid w:val="00E34EE2"/>
    <w:rsid w:val="00E35F20"/>
    <w:rsid w:val="00E4337B"/>
    <w:rsid w:val="00E62B8A"/>
    <w:rsid w:val="00E71D10"/>
    <w:rsid w:val="00E71F37"/>
    <w:rsid w:val="00E74D6E"/>
    <w:rsid w:val="00E754F4"/>
    <w:rsid w:val="00E82F2F"/>
    <w:rsid w:val="00E91F71"/>
    <w:rsid w:val="00E92BBF"/>
    <w:rsid w:val="00EA4E8A"/>
    <w:rsid w:val="00EB3F3C"/>
    <w:rsid w:val="00EB6B97"/>
    <w:rsid w:val="00EB6BB1"/>
    <w:rsid w:val="00EC28D5"/>
    <w:rsid w:val="00EC3351"/>
    <w:rsid w:val="00ED42BD"/>
    <w:rsid w:val="00ED4486"/>
    <w:rsid w:val="00EE0C48"/>
    <w:rsid w:val="00EE2154"/>
    <w:rsid w:val="00EE757B"/>
    <w:rsid w:val="00EE762D"/>
    <w:rsid w:val="00EF1EB9"/>
    <w:rsid w:val="00EF54CF"/>
    <w:rsid w:val="00F0230D"/>
    <w:rsid w:val="00F03979"/>
    <w:rsid w:val="00F04F7E"/>
    <w:rsid w:val="00F07FC8"/>
    <w:rsid w:val="00F13CC8"/>
    <w:rsid w:val="00F14B5B"/>
    <w:rsid w:val="00F15205"/>
    <w:rsid w:val="00F15306"/>
    <w:rsid w:val="00F259C9"/>
    <w:rsid w:val="00F30239"/>
    <w:rsid w:val="00F32B36"/>
    <w:rsid w:val="00F36C0F"/>
    <w:rsid w:val="00F36CD6"/>
    <w:rsid w:val="00F421F1"/>
    <w:rsid w:val="00F432B3"/>
    <w:rsid w:val="00F461EF"/>
    <w:rsid w:val="00F50131"/>
    <w:rsid w:val="00F52FC5"/>
    <w:rsid w:val="00F60643"/>
    <w:rsid w:val="00F7150D"/>
    <w:rsid w:val="00F7396B"/>
    <w:rsid w:val="00F86D43"/>
    <w:rsid w:val="00F90E8A"/>
    <w:rsid w:val="00F91046"/>
    <w:rsid w:val="00F96147"/>
    <w:rsid w:val="00F96EF7"/>
    <w:rsid w:val="00FA112E"/>
    <w:rsid w:val="00FA1C2E"/>
    <w:rsid w:val="00FA3D5A"/>
    <w:rsid w:val="00FA4EA8"/>
    <w:rsid w:val="00FB7934"/>
    <w:rsid w:val="00FC4DFB"/>
    <w:rsid w:val="00FD5E8D"/>
    <w:rsid w:val="00FE05F3"/>
    <w:rsid w:val="00FE0A57"/>
    <w:rsid w:val="00FE324D"/>
    <w:rsid w:val="00FE413E"/>
    <w:rsid w:val="00FE52D8"/>
    <w:rsid w:val="00FE7B29"/>
    <w:rsid w:val="00FF05B3"/>
    <w:rsid w:val="00FF3F31"/>
    <w:rsid w:val="00FF715D"/>
    <w:rsid w:val="00FF76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E966D"/>
  <w15:docId w15:val="{49815145-AB55-2144-9A10-2F8C2A1E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F6"/>
    <w:pPr>
      <w:spacing w:after="240" w:line="240" w:lineRule="auto"/>
      <w:jc w:val="both"/>
    </w:pPr>
  </w:style>
  <w:style w:type="paragraph" w:styleId="Heading1">
    <w:name w:val="heading 1"/>
    <w:aliases w:val="Chapter heading"/>
    <w:basedOn w:val="Normal"/>
    <w:next w:val="Heading2"/>
    <w:link w:val="Heading1Char"/>
    <w:uiPriority w:val="9"/>
    <w:qFormat/>
    <w:rsid w:val="005F6A91"/>
    <w:pPr>
      <w:keepNext/>
      <w:keepLines/>
      <w:pageBreakBefore/>
      <w:numPr>
        <w:numId w:val="7"/>
      </w:numPr>
      <w:pBdr>
        <w:bottom w:val="single" w:sz="18" w:space="1" w:color="003399"/>
      </w:pBdr>
      <w:ind w:left="431" w:hanging="431"/>
      <w:outlineLvl w:val="0"/>
    </w:pPr>
    <w:rPr>
      <w:rFonts w:eastAsiaTheme="majorEastAsia" w:cstheme="majorBidi"/>
      <w:b/>
      <w:bCs/>
      <w:sz w:val="36"/>
      <w:szCs w:val="28"/>
    </w:rPr>
  </w:style>
  <w:style w:type="paragraph" w:styleId="Heading2">
    <w:name w:val="heading 2"/>
    <w:aliases w:val="Heading 1.1"/>
    <w:basedOn w:val="Normal"/>
    <w:next w:val="Heading3"/>
    <w:link w:val="Heading2Char"/>
    <w:uiPriority w:val="9"/>
    <w:unhideWhenUsed/>
    <w:qFormat/>
    <w:rsid w:val="001E72D2"/>
    <w:pPr>
      <w:keepNext/>
      <w:keepLines/>
      <w:numPr>
        <w:ilvl w:val="1"/>
        <w:numId w:val="7"/>
      </w:numPr>
      <w:spacing w:before="240"/>
      <w:ind w:left="709" w:hanging="709"/>
      <w:outlineLvl w:val="1"/>
    </w:pPr>
    <w:rPr>
      <w:rFonts w:ascii="Calibri" w:eastAsiaTheme="majorEastAsia" w:hAnsi="Calibri" w:cs="Times New Roman"/>
      <w:b/>
      <w:sz w:val="32"/>
      <w:szCs w:val="26"/>
    </w:rPr>
  </w:style>
  <w:style w:type="paragraph" w:styleId="Heading3">
    <w:name w:val="heading 3"/>
    <w:aliases w:val="Heading 1.1.1"/>
    <w:basedOn w:val="Normal"/>
    <w:next w:val="Normal"/>
    <w:link w:val="Heading3Char"/>
    <w:uiPriority w:val="9"/>
    <w:unhideWhenUsed/>
    <w:qFormat/>
    <w:rsid w:val="00A33F03"/>
    <w:pPr>
      <w:keepNext/>
      <w:keepLines/>
      <w:numPr>
        <w:ilvl w:val="2"/>
        <w:numId w:val="7"/>
      </w:numPr>
      <w:spacing w:before="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A33F03"/>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A33F03"/>
    <w:pPr>
      <w:keepNext/>
      <w:keepLines/>
      <w:spacing w:before="240"/>
      <w:outlineLvl w:val="4"/>
    </w:pPr>
    <w:rPr>
      <w:rFonts w:ascii="Calibri" w:eastAsiaTheme="majorEastAsia" w:hAnsi="Calibri" w:cstheme="majorBidi"/>
      <w:i/>
      <w:color w:val="000000" w:themeColor="text1"/>
    </w:rPr>
  </w:style>
  <w:style w:type="paragraph" w:styleId="Heading6">
    <w:name w:val="heading 6"/>
    <w:basedOn w:val="Normal"/>
    <w:next w:val="Normal"/>
    <w:link w:val="Heading6Char"/>
    <w:uiPriority w:val="9"/>
    <w:unhideWhenUsed/>
    <w:rsid w:val="007F2648"/>
    <w:pPr>
      <w:keepNext/>
      <w:keepLines/>
      <w:spacing w:before="360" w:after="60"/>
      <w:outlineLvl w:val="5"/>
    </w:pPr>
    <w:rPr>
      <w:rFonts w:ascii="Calibri" w:eastAsiaTheme="majorEastAsia" w:hAnsi="Calibri" w:cstheme="majorBidi"/>
      <w:i/>
      <w:iCs/>
      <w:color w:val="000000" w:themeColor="text1"/>
      <w:u w:val="single"/>
    </w:rPr>
  </w:style>
  <w:style w:type="paragraph" w:styleId="Heading7">
    <w:name w:val="heading 7"/>
    <w:basedOn w:val="Normal"/>
    <w:next w:val="Normal"/>
    <w:link w:val="Heading7Char"/>
    <w:uiPriority w:val="9"/>
    <w:semiHidden/>
    <w:unhideWhenUsed/>
    <w:rsid w:val="00130D2D"/>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0D2D"/>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0D2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A4"/>
    <w:rPr>
      <w:rFonts w:ascii="Tahoma" w:hAnsi="Tahoma" w:cs="Tahoma"/>
      <w:sz w:val="16"/>
      <w:szCs w:val="16"/>
    </w:rPr>
  </w:style>
  <w:style w:type="character" w:customStyle="1" w:styleId="Heading1Char">
    <w:name w:val="Heading 1 Char"/>
    <w:aliases w:val="Chapter heading Char"/>
    <w:basedOn w:val="DefaultParagraphFont"/>
    <w:link w:val="Heading1"/>
    <w:uiPriority w:val="9"/>
    <w:rsid w:val="005F6A91"/>
    <w:rPr>
      <w:rFonts w:eastAsiaTheme="majorEastAsia" w:cstheme="majorBidi"/>
      <w:b/>
      <w:bCs/>
      <w:sz w:val="36"/>
      <w:szCs w:val="28"/>
    </w:rPr>
  </w:style>
  <w:style w:type="paragraph" w:styleId="TOCHeading">
    <w:name w:val="TOC Heading"/>
    <w:basedOn w:val="Heading1"/>
    <w:next w:val="Normal"/>
    <w:uiPriority w:val="39"/>
    <w:semiHidden/>
    <w:unhideWhenUsed/>
    <w:qFormat/>
    <w:rsid w:val="00934650"/>
    <w:pPr>
      <w:outlineLvl w:val="9"/>
    </w:pPr>
    <w:rPr>
      <w:lang w:val="en-US" w:eastAsia="ja-JP"/>
    </w:rPr>
  </w:style>
  <w:style w:type="paragraph" w:styleId="TOC2">
    <w:name w:val="toc 2"/>
    <w:basedOn w:val="Normal"/>
    <w:next w:val="Normal"/>
    <w:autoRedefine/>
    <w:uiPriority w:val="39"/>
    <w:unhideWhenUsed/>
    <w:rsid w:val="00B87611"/>
    <w:pPr>
      <w:tabs>
        <w:tab w:val="left" w:pos="440"/>
        <w:tab w:val="right" w:leader="dot" w:pos="9016"/>
      </w:tabs>
      <w:spacing w:after="100"/>
    </w:pPr>
    <w:rPr>
      <w:rFonts w:eastAsiaTheme="minorEastAsia"/>
      <w:lang w:val="en-US" w:eastAsia="ja-JP"/>
    </w:rPr>
  </w:style>
  <w:style w:type="paragraph" w:styleId="TOC1">
    <w:name w:val="toc 1"/>
    <w:basedOn w:val="Normal"/>
    <w:next w:val="Normal"/>
    <w:autoRedefine/>
    <w:uiPriority w:val="39"/>
    <w:unhideWhenUsed/>
    <w:rsid w:val="00614329"/>
    <w:pPr>
      <w:tabs>
        <w:tab w:val="left" w:pos="440"/>
        <w:tab w:val="right" w:leader="dot" w:pos="9016"/>
      </w:tabs>
      <w:spacing w:before="360" w:after="100"/>
    </w:pPr>
    <w:rPr>
      <w:rFonts w:eastAsiaTheme="minorEastAsia"/>
      <w:b/>
      <w:noProof/>
      <w:lang w:val="en-US" w:eastAsia="ja-JP"/>
    </w:rPr>
  </w:style>
  <w:style w:type="paragraph" w:styleId="TOC3">
    <w:name w:val="toc 3"/>
    <w:basedOn w:val="Normal"/>
    <w:next w:val="Normal"/>
    <w:autoRedefine/>
    <w:uiPriority w:val="39"/>
    <w:semiHidden/>
    <w:unhideWhenUsed/>
    <w:qFormat/>
    <w:rsid w:val="00934650"/>
    <w:pPr>
      <w:spacing w:after="100"/>
      <w:ind w:left="440"/>
    </w:pPr>
    <w:rPr>
      <w:rFonts w:eastAsiaTheme="minorEastAsia"/>
      <w:lang w:val="en-US" w:eastAsia="ja-JP"/>
    </w:rPr>
  </w:style>
  <w:style w:type="character" w:customStyle="1" w:styleId="Heading2Char">
    <w:name w:val="Heading 2 Char"/>
    <w:aliases w:val="Heading 1.1 Char"/>
    <w:basedOn w:val="DefaultParagraphFont"/>
    <w:link w:val="Heading2"/>
    <w:uiPriority w:val="9"/>
    <w:rsid w:val="001E72D2"/>
    <w:rPr>
      <w:rFonts w:ascii="Calibri" w:eastAsiaTheme="majorEastAsia" w:hAnsi="Calibri" w:cs="Times New Roman"/>
      <w:b/>
      <w:sz w:val="32"/>
      <w:szCs w:val="26"/>
    </w:rPr>
  </w:style>
  <w:style w:type="character" w:customStyle="1" w:styleId="Heading3Char">
    <w:name w:val="Heading 3 Char"/>
    <w:aliases w:val="Heading 1.1.1 Char"/>
    <w:basedOn w:val="DefaultParagraphFont"/>
    <w:link w:val="Heading3"/>
    <w:uiPriority w:val="9"/>
    <w:rsid w:val="00A33F03"/>
    <w:rPr>
      <w:rFonts w:ascii="Calibri" w:eastAsiaTheme="majorEastAsia" w:hAnsi="Calibri" w:cstheme="majorBidi"/>
      <w:b/>
      <w:bCs/>
      <w:sz w:val="28"/>
    </w:rPr>
  </w:style>
  <w:style w:type="paragraph" w:styleId="Header">
    <w:name w:val="header"/>
    <w:basedOn w:val="Normal"/>
    <w:link w:val="HeaderChar"/>
    <w:uiPriority w:val="99"/>
    <w:unhideWhenUsed/>
    <w:rsid w:val="00D40E67"/>
    <w:pPr>
      <w:tabs>
        <w:tab w:val="center" w:pos="4513"/>
        <w:tab w:val="right" w:pos="9026"/>
      </w:tabs>
      <w:spacing w:after="0"/>
    </w:pPr>
  </w:style>
  <w:style w:type="character" w:customStyle="1" w:styleId="Heading4Char">
    <w:name w:val="Heading 4 Char"/>
    <w:basedOn w:val="DefaultParagraphFont"/>
    <w:link w:val="Heading4"/>
    <w:uiPriority w:val="9"/>
    <w:rsid w:val="00A33F03"/>
    <w:rPr>
      <w:rFonts w:ascii="Calibri" w:eastAsiaTheme="majorEastAsia" w:hAnsi="Calibri" w:cstheme="majorBidi"/>
      <w:b/>
      <w:bCs/>
      <w:i/>
      <w:iCs/>
      <w:sz w:val="24"/>
    </w:rPr>
  </w:style>
  <w:style w:type="character" w:customStyle="1" w:styleId="Heading5Char">
    <w:name w:val="Heading 5 Char"/>
    <w:basedOn w:val="DefaultParagraphFont"/>
    <w:link w:val="Heading5"/>
    <w:uiPriority w:val="9"/>
    <w:rsid w:val="00A33F03"/>
    <w:rPr>
      <w:rFonts w:ascii="Calibri" w:eastAsiaTheme="majorEastAsia" w:hAnsi="Calibri" w:cstheme="majorBidi"/>
      <w:i/>
      <w:color w:val="000000" w:themeColor="text1"/>
      <w:sz w:val="24"/>
    </w:rPr>
  </w:style>
  <w:style w:type="character" w:customStyle="1" w:styleId="Heading6Char">
    <w:name w:val="Heading 6 Char"/>
    <w:basedOn w:val="DefaultParagraphFont"/>
    <w:link w:val="Heading6"/>
    <w:uiPriority w:val="9"/>
    <w:rsid w:val="007F2648"/>
    <w:rPr>
      <w:rFonts w:ascii="Calibri" w:eastAsiaTheme="majorEastAsia" w:hAnsi="Calibri" w:cstheme="majorBidi"/>
      <w:i/>
      <w:iCs/>
      <w:color w:val="000000" w:themeColor="text1"/>
      <w:sz w:val="24"/>
      <w:u w:val="single"/>
    </w:rPr>
  </w:style>
  <w:style w:type="character" w:customStyle="1" w:styleId="HeaderChar">
    <w:name w:val="Header Char"/>
    <w:basedOn w:val="DefaultParagraphFont"/>
    <w:link w:val="Header"/>
    <w:uiPriority w:val="99"/>
    <w:rsid w:val="00D40E67"/>
  </w:style>
  <w:style w:type="paragraph" w:styleId="Footer">
    <w:name w:val="footer"/>
    <w:basedOn w:val="Normal"/>
    <w:link w:val="FooterChar"/>
    <w:uiPriority w:val="99"/>
    <w:rsid w:val="00E35F20"/>
    <w:pPr>
      <w:pBdr>
        <w:top w:val="single" w:sz="4" w:space="5" w:color="auto"/>
      </w:pBdr>
      <w:tabs>
        <w:tab w:val="center" w:pos="4513"/>
        <w:tab w:val="left" w:pos="5846"/>
      </w:tabs>
      <w:spacing w:after="0"/>
      <w:jc w:val="left"/>
    </w:pPr>
    <w:rPr>
      <w:rFonts w:ascii="Calibri" w:hAnsi="Calibri"/>
      <w:sz w:val="20"/>
      <w:szCs w:val="20"/>
    </w:rPr>
  </w:style>
  <w:style w:type="character" w:customStyle="1" w:styleId="FooterChar">
    <w:name w:val="Footer Char"/>
    <w:basedOn w:val="DefaultParagraphFont"/>
    <w:link w:val="Footer"/>
    <w:uiPriority w:val="99"/>
    <w:rsid w:val="00E35F20"/>
    <w:rPr>
      <w:rFonts w:ascii="Calibri" w:hAnsi="Calibri"/>
      <w:sz w:val="20"/>
      <w:szCs w:val="20"/>
    </w:rPr>
  </w:style>
  <w:style w:type="character" w:customStyle="1" w:styleId="Heading7Char">
    <w:name w:val="Heading 7 Char"/>
    <w:basedOn w:val="DefaultParagraphFont"/>
    <w:link w:val="Heading7"/>
    <w:uiPriority w:val="9"/>
    <w:semiHidden/>
    <w:rsid w:val="00130D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0D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0D2D"/>
    <w:rPr>
      <w:rFonts w:asciiTheme="majorHAnsi" w:eastAsiaTheme="majorEastAsia" w:hAnsiTheme="majorHAnsi" w:cstheme="majorBidi"/>
      <w:i/>
      <w:iCs/>
      <w:color w:val="404040" w:themeColor="text1" w:themeTint="BF"/>
      <w:sz w:val="20"/>
      <w:szCs w:val="20"/>
    </w:rPr>
  </w:style>
  <w:style w:type="paragraph" w:styleId="ListParagraph">
    <w:name w:val="List Paragraph"/>
    <w:aliases w:val="Heading 2_sj,Dot pt,Numbered Para 1,No Spacing1,List Paragraph Char Char Char,Indicator Text,Bullet 1,List Paragraph1,Bullet Points,MAIN CONTENT,List Paragraph12,F5 List Paragraph,Report Para,1st level - Bullet List Paragraph"/>
    <w:basedOn w:val="Normal"/>
    <w:link w:val="ListParagraphChar"/>
    <w:uiPriority w:val="34"/>
    <w:qFormat/>
    <w:rsid w:val="005C7C57"/>
    <w:pPr>
      <w:ind w:left="720"/>
      <w:contextualSpacing/>
    </w:pPr>
  </w:style>
  <w:style w:type="table" w:styleId="TableGrid">
    <w:name w:val="Table Grid"/>
    <w:basedOn w:val="TableNormal"/>
    <w:uiPriority w:val="59"/>
    <w:rsid w:val="0039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AA3EDB"/>
    <w:pPr>
      <w:spacing w:after="0"/>
    </w:pPr>
    <w:rPr>
      <w:color w:val="000000" w:themeColor="text1"/>
      <w:sz w:val="20"/>
      <w:szCs w:val="24"/>
    </w:rPr>
  </w:style>
  <w:style w:type="paragraph" w:styleId="Caption">
    <w:name w:val="caption"/>
    <w:basedOn w:val="Table"/>
    <w:next w:val="Normal"/>
    <w:link w:val="CaptionChar"/>
    <w:uiPriority w:val="35"/>
    <w:unhideWhenUsed/>
    <w:qFormat/>
    <w:rsid w:val="002F53A9"/>
    <w:pPr>
      <w:keepNext/>
      <w:jc w:val="center"/>
    </w:pPr>
    <w:rPr>
      <w:b/>
    </w:rPr>
  </w:style>
  <w:style w:type="character" w:customStyle="1" w:styleId="TableChar">
    <w:name w:val="Table Char"/>
    <w:basedOn w:val="DefaultParagraphFont"/>
    <w:link w:val="Table"/>
    <w:rsid w:val="00AA3EDB"/>
    <w:rPr>
      <w:color w:val="000000" w:themeColor="text1"/>
      <w:sz w:val="20"/>
      <w:szCs w:val="24"/>
    </w:rPr>
  </w:style>
  <w:style w:type="table" w:customStyle="1" w:styleId="RPAtable">
    <w:name w:val="RPA table"/>
    <w:basedOn w:val="TableNormal"/>
    <w:uiPriority w:val="99"/>
    <w:rsid w:val="00B95004"/>
    <w:pPr>
      <w:spacing w:after="0" w:line="240" w:lineRule="auto"/>
    </w:pPr>
    <w:tblPr/>
  </w:style>
  <w:style w:type="paragraph" w:customStyle="1" w:styleId="Bulletlist">
    <w:name w:val="Bullet list"/>
    <w:basedOn w:val="ListParagraph"/>
    <w:link w:val="BulletlistChar"/>
    <w:uiPriority w:val="10"/>
    <w:qFormat/>
    <w:rsid w:val="00BB6C16"/>
    <w:pPr>
      <w:numPr>
        <w:numId w:val="11"/>
      </w:numPr>
      <w:ind w:left="709" w:hanging="357"/>
    </w:pPr>
    <w:rPr>
      <w:szCs w:val="24"/>
    </w:rPr>
  </w:style>
  <w:style w:type="paragraph" w:customStyle="1" w:styleId="Bulletlist2">
    <w:name w:val="Bullet list 2"/>
    <w:basedOn w:val="Bulletlist"/>
    <w:link w:val="Bulletlist2Char"/>
    <w:uiPriority w:val="10"/>
    <w:qFormat/>
    <w:rsid w:val="00BB6C16"/>
    <w:pPr>
      <w:numPr>
        <w:ilvl w:val="1"/>
      </w:numPr>
      <w:ind w:left="1134" w:hanging="357"/>
    </w:pPr>
  </w:style>
  <w:style w:type="character" w:customStyle="1" w:styleId="ListParagraphChar">
    <w:name w:val="List Paragraph Char"/>
    <w:aliases w:val="Heading 2_sj Char,Dot pt Char,Numbered Para 1 Char,No Spacing1 Char,List Paragraph Char Char Char Char,Indicator Text Char,Bullet 1 Char,List Paragraph1 Char,Bullet Points Char,MAIN CONTENT Char,List Paragraph12 Char,Report Para Char"/>
    <w:basedOn w:val="DefaultParagraphFont"/>
    <w:link w:val="ListParagraph"/>
    <w:uiPriority w:val="34"/>
    <w:qFormat/>
    <w:rsid w:val="004A7157"/>
  </w:style>
  <w:style w:type="character" w:customStyle="1" w:styleId="BulletlistChar">
    <w:name w:val="Bullet list Char"/>
    <w:basedOn w:val="ListParagraphChar"/>
    <w:link w:val="Bulletlist"/>
    <w:uiPriority w:val="10"/>
    <w:rsid w:val="00BB6C16"/>
    <w:rPr>
      <w:szCs w:val="24"/>
    </w:rPr>
  </w:style>
  <w:style w:type="character" w:customStyle="1" w:styleId="Bulletlist2Char">
    <w:name w:val="Bullet list 2 Char"/>
    <w:basedOn w:val="BulletlistChar"/>
    <w:link w:val="Bulletlist2"/>
    <w:uiPriority w:val="10"/>
    <w:rsid w:val="00BB6C16"/>
    <w:rPr>
      <w:szCs w:val="24"/>
    </w:rPr>
  </w:style>
  <w:style w:type="character" w:styleId="Hyperlink">
    <w:name w:val="Hyperlink"/>
    <w:basedOn w:val="DefaultParagraphFont"/>
    <w:uiPriority w:val="99"/>
    <w:unhideWhenUsed/>
    <w:rsid w:val="00781E5E"/>
    <w:rPr>
      <w:color w:val="0000FF" w:themeColor="hyperlink"/>
      <w:u w:val="single"/>
    </w:rPr>
  </w:style>
  <w:style w:type="paragraph" w:customStyle="1" w:styleId="Numbering">
    <w:name w:val="Numbering"/>
    <w:basedOn w:val="ListParagraph"/>
    <w:link w:val="NumberingChar"/>
    <w:uiPriority w:val="11"/>
    <w:qFormat/>
    <w:rsid w:val="00C15233"/>
    <w:pPr>
      <w:numPr>
        <w:numId w:val="14"/>
      </w:numPr>
      <w:spacing w:before="200" w:after="0"/>
      <w:ind w:left="714" w:hanging="357"/>
      <w:contextualSpacing w:val="0"/>
    </w:pPr>
    <w:rPr>
      <w:szCs w:val="24"/>
    </w:rPr>
  </w:style>
  <w:style w:type="character" w:customStyle="1" w:styleId="NumberingChar">
    <w:name w:val="Numbering Char"/>
    <w:basedOn w:val="ListParagraphChar"/>
    <w:link w:val="Numbering"/>
    <w:uiPriority w:val="11"/>
    <w:rsid w:val="00230B5C"/>
    <w:rPr>
      <w:sz w:val="24"/>
      <w:szCs w:val="24"/>
    </w:rPr>
  </w:style>
  <w:style w:type="paragraph" w:styleId="FootnoteText">
    <w:name w:val="footnote text"/>
    <w:aliases w:val="Footnote Text Char Char,Footnote text,Geneva 9,Font: Geneva 9,Boston 10,f,Footnote,Fußnote,Fußnote Char Char Char,Fußnote Char Char,Fußnote Char Char Char Char Char Char,Fußnote Char Char Char Char"/>
    <w:basedOn w:val="Normal"/>
    <w:link w:val="FootnoteTextChar"/>
    <w:uiPriority w:val="99"/>
    <w:qFormat/>
    <w:rsid w:val="008A0DF6"/>
    <w:pPr>
      <w:spacing w:after="0"/>
      <w:ind w:left="113" w:hanging="113"/>
    </w:pPr>
    <w:rPr>
      <w:sz w:val="20"/>
      <w:szCs w:val="20"/>
    </w:rPr>
  </w:style>
  <w:style w:type="character" w:customStyle="1" w:styleId="FootnoteTextChar">
    <w:name w:val="Footnote Text Char"/>
    <w:aliases w:val="Footnote Text Char Char Char,Footnote text Char,Geneva 9 Char,Font: Geneva 9 Char,Boston 10 Char,f Char,Footnote Char,Fußnote Char,Fußnote Char Char Char Char1,Fußnote Char Char Char1,Fußnote Char Char Char Char Char Char Char"/>
    <w:basedOn w:val="DefaultParagraphFont"/>
    <w:link w:val="FootnoteText"/>
    <w:uiPriority w:val="99"/>
    <w:rsid w:val="008A0DF6"/>
    <w:rPr>
      <w:sz w:val="20"/>
      <w:szCs w:val="20"/>
    </w:rPr>
  </w:style>
  <w:style w:type="character" w:styleId="FootnoteReference">
    <w:name w:val="footnote reference"/>
    <w:aliases w:val="Footnote reference number,Footnote Reference/,Footnote Refernece,BVI fnr,callout,16 Point,Superscript 6 Point,Footnote symbol,Footnote Reference text,Times 10 Point,Exposant 3 Point,EN Footnote Reference,note TESI,-E Fußnotenzeichen"/>
    <w:basedOn w:val="DefaultParagraphFont"/>
    <w:uiPriority w:val="99"/>
    <w:qFormat/>
    <w:rsid w:val="00E03D8B"/>
    <w:rPr>
      <w:vertAlign w:val="superscript"/>
    </w:rPr>
  </w:style>
  <w:style w:type="paragraph" w:customStyle="1" w:styleId="Annex">
    <w:name w:val="Annex"/>
    <w:basedOn w:val="Heading1"/>
    <w:next w:val="AnnexHeading1"/>
    <w:link w:val="AnnexChar"/>
    <w:uiPriority w:val="12"/>
    <w:qFormat/>
    <w:rsid w:val="00BF2038"/>
    <w:pPr>
      <w:numPr>
        <w:numId w:val="19"/>
      </w:numPr>
    </w:pPr>
  </w:style>
  <w:style w:type="character" w:customStyle="1" w:styleId="AnnexChar">
    <w:name w:val="Annex Char"/>
    <w:basedOn w:val="Heading1Char"/>
    <w:link w:val="Annex"/>
    <w:uiPriority w:val="12"/>
    <w:rsid w:val="00BF2038"/>
    <w:rPr>
      <w:rFonts w:eastAsiaTheme="majorEastAsia" w:cstheme="majorBidi"/>
      <w:b/>
      <w:bCs/>
      <w:sz w:val="36"/>
      <w:szCs w:val="28"/>
    </w:rPr>
  </w:style>
  <w:style w:type="paragraph" w:customStyle="1" w:styleId="Referencing">
    <w:name w:val="Referencing"/>
    <w:basedOn w:val="Heading1"/>
    <w:uiPriority w:val="11"/>
    <w:qFormat/>
    <w:rsid w:val="000A4F34"/>
    <w:pPr>
      <w:numPr>
        <w:numId w:val="0"/>
      </w:numPr>
    </w:pPr>
  </w:style>
  <w:style w:type="paragraph" w:customStyle="1" w:styleId="AnnexHeading1">
    <w:name w:val="Annex Heading 1"/>
    <w:basedOn w:val="Heading2"/>
    <w:next w:val="AnnexHeading2"/>
    <w:link w:val="AnnexHeading1Char"/>
    <w:uiPriority w:val="13"/>
    <w:qFormat/>
    <w:rsid w:val="00A51819"/>
    <w:pPr>
      <w:numPr>
        <w:numId w:val="19"/>
      </w:numPr>
      <w:ind w:left="709" w:hanging="709"/>
    </w:pPr>
  </w:style>
  <w:style w:type="paragraph" w:customStyle="1" w:styleId="AnnexHeading2">
    <w:name w:val="Annex Heading 2"/>
    <w:basedOn w:val="Heading2"/>
    <w:next w:val="Normal"/>
    <w:link w:val="AnnexHeading2Char"/>
    <w:uiPriority w:val="13"/>
    <w:qFormat/>
    <w:rsid w:val="00A51819"/>
    <w:pPr>
      <w:numPr>
        <w:ilvl w:val="2"/>
        <w:numId w:val="19"/>
      </w:numPr>
      <w:ind w:left="993" w:hanging="284"/>
      <w:outlineLvl w:val="2"/>
    </w:pPr>
    <w:rPr>
      <w:sz w:val="28"/>
    </w:rPr>
  </w:style>
  <w:style w:type="character" w:customStyle="1" w:styleId="AnnexHeading1Char">
    <w:name w:val="Annex Heading 1 Char"/>
    <w:basedOn w:val="Heading2Char"/>
    <w:link w:val="AnnexHeading1"/>
    <w:uiPriority w:val="13"/>
    <w:rsid w:val="00A51819"/>
    <w:rPr>
      <w:rFonts w:ascii="Calibri" w:eastAsiaTheme="majorEastAsia" w:hAnsi="Calibri" w:cs="Times New Roman"/>
      <w:b/>
      <w:sz w:val="32"/>
      <w:szCs w:val="26"/>
    </w:rPr>
  </w:style>
  <w:style w:type="character" w:customStyle="1" w:styleId="AnnexHeading2Char">
    <w:name w:val="Annex Heading 2 Char"/>
    <w:basedOn w:val="Heading3Char"/>
    <w:link w:val="AnnexHeading2"/>
    <w:uiPriority w:val="13"/>
    <w:rsid w:val="00A51819"/>
    <w:rPr>
      <w:rFonts w:ascii="Calibri" w:eastAsiaTheme="majorEastAsia" w:hAnsi="Calibri" w:cs="Times New Roman"/>
      <w:b/>
      <w:bCs w:val="0"/>
      <w:sz w:val="28"/>
      <w:szCs w:val="26"/>
    </w:rPr>
  </w:style>
  <w:style w:type="paragraph" w:styleId="Quote">
    <w:name w:val="Quote"/>
    <w:basedOn w:val="Normal"/>
    <w:next w:val="Normal"/>
    <w:link w:val="QuoteChar"/>
    <w:uiPriority w:val="29"/>
    <w:qFormat/>
    <w:rsid w:val="004B42DA"/>
    <w:pPr>
      <w:ind w:left="567" w:right="567"/>
    </w:pPr>
    <w:rPr>
      <w:i/>
      <w:iCs/>
      <w:color w:val="000000" w:themeColor="text1"/>
    </w:rPr>
  </w:style>
  <w:style w:type="character" w:customStyle="1" w:styleId="QuoteChar">
    <w:name w:val="Quote Char"/>
    <w:basedOn w:val="DefaultParagraphFont"/>
    <w:link w:val="Quote"/>
    <w:uiPriority w:val="29"/>
    <w:rsid w:val="004B42DA"/>
    <w:rPr>
      <w:i/>
      <w:iCs/>
      <w:color w:val="000000" w:themeColor="text1"/>
    </w:rPr>
  </w:style>
  <w:style w:type="paragraph" w:customStyle="1" w:styleId="Footnotes">
    <w:name w:val="Footnotes"/>
    <w:basedOn w:val="FootnoteText"/>
    <w:link w:val="FootnotesChar"/>
    <w:qFormat/>
    <w:rsid w:val="00896437"/>
  </w:style>
  <w:style w:type="character" w:customStyle="1" w:styleId="FootnotesChar">
    <w:name w:val="Footnotes Char"/>
    <w:basedOn w:val="FootnoteTextChar"/>
    <w:link w:val="Footnotes"/>
    <w:rsid w:val="00896437"/>
    <w:rPr>
      <w:sz w:val="20"/>
      <w:szCs w:val="20"/>
    </w:rPr>
  </w:style>
  <w:style w:type="paragraph" w:customStyle="1" w:styleId="FigTabCaption">
    <w:name w:val="FigTab Caption"/>
    <w:basedOn w:val="Caption"/>
    <w:link w:val="FigTabCaptionChar"/>
    <w:qFormat/>
    <w:rsid w:val="009B04C3"/>
    <w:pPr>
      <w:jc w:val="left"/>
    </w:pPr>
    <w:rPr>
      <w:color w:val="FFFFFF" w:themeColor="background1"/>
    </w:rPr>
  </w:style>
  <w:style w:type="character" w:customStyle="1" w:styleId="CaptionChar">
    <w:name w:val="Caption Char"/>
    <w:basedOn w:val="TableChar"/>
    <w:link w:val="Caption"/>
    <w:uiPriority w:val="35"/>
    <w:rsid w:val="009B04C3"/>
    <w:rPr>
      <w:b/>
      <w:color w:val="000000" w:themeColor="text1"/>
      <w:sz w:val="20"/>
      <w:szCs w:val="24"/>
    </w:rPr>
  </w:style>
  <w:style w:type="character" w:customStyle="1" w:styleId="FigTabCaptionChar">
    <w:name w:val="FigTab Caption Char"/>
    <w:basedOn w:val="CaptionChar"/>
    <w:link w:val="FigTabCaption"/>
    <w:rsid w:val="009B04C3"/>
    <w:rPr>
      <w:b/>
      <w:color w:val="FFFFFF" w:themeColor="background1"/>
      <w:sz w:val="20"/>
      <w:szCs w:val="24"/>
    </w:rPr>
  </w:style>
  <w:style w:type="paragraph" w:customStyle="1" w:styleId="Style1">
    <w:name w:val="Style1"/>
    <w:basedOn w:val="FootnoteText"/>
    <w:link w:val="Style1Char"/>
    <w:rsid w:val="008A0DF6"/>
    <w:pPr>
      <w:ind w:left="0" w:firstLine="0"/>
    </w:pPr>
  </w:style>
  <w:style w:type="character" w:customStyle="1" w:styleId="Style1Char">
    <w:name w:val="Style1 Char"/>
    <w:basedOn w:val="FootnoteTextChar"/>
    <w:link w:val="Style1"/>
    <w:rsid w:val="008A0DF6"/>
    <w:rPr>
      <w:sz w:val="20"/>
      <w:szCs w:val="20"/>
    </w:rPr>
  </w:style>
  <w:style w:type="character" w:customStyle="1" w:styleId="UnresolvedMention1">
    <w:name w:val="Unresolved Mention1"/>
    <w:basedOn w:val="DefaultParagraphFont"/>
    <w:uiPriority w:val="99"/>
    <w:semiHidden/>
    <w:unhideWhenUsed/>
    <w:rsid w:val="00C04FEA"/>
    <w:rPr>
      <w:color w:val="605E5C"/>
      <w:shd w:val="clear" w:color="auto" w:fill="E1DFDD"/>
    </w:rPr>
  </w:style>
  <w:style w:type="character" w:styleId="FollowedHyperlink">
    <w:name w:val="FollowedHyperlink"/>
    <w:basedOn w:val="DefaultParagraphFont"/>
    <w:uiPriority w:val="99"/>
    <w:semiHidden/>
    <w:unhideWhenUsed/>
    <w:rsid w:val="00C04FEA"/>
    <w:rPr>
      <w:color w:val="800080" w:themeColor="followedHyperlink"/>
      <w:u w:val="single"/>
    </w:rPr>
  </w:style>
  <w:style w:type="paragraph" w:styleId="NoSpacing">
    <w:name w:val="No Spacing"/>
    <w:link w:val="NoSpacingChar"/>
    <w:uiPriority w:val="1"/>
    <w:qFormat/>
    <w:rsid w:val="00257E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7ED6"/>
    <w:rPr>
      <w:rFonts w:eastAsiaTheme="minorEastAsia"/>
      <w:lang w:val="en-US"/>
    </w:rPr>
  </w:style>
  <w:style w:type="paragraph" w:customStyle="1" w:styleId="Bullet">
    <w:name w:val="Bullet"/>
    <w:basedOn w:val="ListParagraph"/>
    <w:link w:val="BulletChar"/>
    <w:qFormat/>
    <w:rsid w:val="00B53277"/>
    <w:pPr>
      <w:numPr>
        <w:numId w:val="26"/>
      </w:numPr>
    </w:pPr>
  </w:style>
  <w:style w:type="character" w:customStyle="1" w:styleId="BulletChar">
    <w:name w:val="Bullet Char"/>
    <w:link w:val="Bullet"/>
    <w:locked/>
    <w:rsid w:val="00B53277"/>
  </w:style>
  <w:style w:type="character" w:customStyle="1" w:styleId="cli-no-wrap">
    <w:name w:val="cli-no-wrap"/>
    <w:basedOn w:val="DefaultParagraphFont"/>
    <w:rsid w:val="0046507F"/>
  </w:style>
  <w:style w:type="character" w:styleId="Strong">
    <w:name w:val="Strong"/>
    <w:basedOn w:val="DefaultParagraphFont"/>
    <w:uiPriority w:val="22"/>
    <w:qFormat/>
    <w:rsid w:val="00F0230D"/>
    <w:rPr>
      <w:b/>
      <w:bCs/>
    </w:rPr>
  </w:style>
  <w:style w:type="paragraph" w:styleId="Bibliography">
    <w:name w:val="Bibliography"/>
    <w:basedOn w:val="Normal"/>
    <w:next w:val="Normal"/>
    <w:uiPriority w:val="37"/>
    <w:unhideWhenUsed/>
    <w:rsid w:val="00F432B3"/>
  </w:style>
  <w:style w:type="character" w:styleId="CommentReference">
    <w:name w:val="annotation reference"/>
    <w:basedOn w:val="DefaultParagraphFont"/>
    <w:uiPriority w:val="99"/>
    <w:semiHidden/>
    <w:unhideWhenUsed/>
    <w:rsid w:val="00FE0A57"/>
    <w:rPr>
      <w:sz w:val="16"/>
      <w:szCs w:val="16"/>
    </w:rPr>
  </w:style>
  <w:style w:type="paragraph" w:styleId="CommentText">
    <w:name w:val="annotation text"/>
    <w:basedOn w:val="Normal"/>
    <w:link w:val="CommentTextChar"/>
    <w:uiPriority w:val="99"/>
    <w:semiHidden/>
    <w:unhideWhenUsed/>
    <w:rsid w:val="00FE0A57"/>
    <w:rPr>
      <w:sz w:val="20"/>
      <w:szCs w:val="20"/>
    </w:rPr>
  </w:style>
  <w:style w:type="character" w:customStyle="1" w:styleId="CommentTextChar">
    <w:name w:val="Comment Text Char"/>
    <w:basedOn w:val="DefaultParagraphFont"/>
    <w:link w:val="CommentText"/>
    <w:uiPriority w:val="99"/>
    <w:semiHidden/>
    <w:rsid w:val="00FE0A57"/>
    <w:rPr>
      <w:sz w:val="20"/>
      <w:szCs w:val="20"/>
    </w:rPr>
  </w:style>
  <w:style w:type="paragraph" w:styleId="CommentSubject">
    <w:name w:val="annotation subject"/>
    <w:basedOn w:val="CommentText"/>
    <w:next w:val="CommentText"/>
    <w:link w:val="CommentSubjectChar"/>
    <w:uiPriority w:val="99"/>
    <w:semiHidden/>
    <w:unhideWhenUsed/>
    <w:rsid w:val="00FE0A57"/>
    <w:rPr>
      <w:b/>
      <w:bCs/>
    </w:rPr>
  </w:style>
  <w:style w:type="character" w:customStyle="1" w:styleId="CommentSubjectChar">
    <w:name w:val="Comment Subject Char"/>
    <w:basedOn w:val="CommentTextChar"/>
    <w:link w:val="CommentSubject"/>
    <w:uiPriority w:val="99"/>
    <w:semiHidden/>
    <w:rsid w:val="00FE0A57"/>
    <w:rPr>
      <w:b/>
      <w:bCs/>
      <w:sz w:val="20"/>
      <w:szCs w:val="20"/>
    </w:rPr>
  </w:style>
  <w:style w:type="paragraph" w:styleId="Revision">
    <w:name w:val="Revision"/>
    <w:hidden/>
    <w:uiPriority w:val="99"/>
    <w:semiHidden/>
    <w:rsid w:val="00C52A51"/>
    <w:pPr>
      <w:spacing w:after="0" w:line="240" w:lineRule="auto"/>
    </w:pPr>
  </w:style>
  <w:style w:type="character" w:customStyle="1" w:styleId="UnresolvedMention2">
    <w:name w:val="Unresolved Mention2"/>
    <w:basedOn w:val="DefaultParagraphFont"/>
    <w:uiPriority w:val="99"/>
    <w:semiHidden/>
    <w:unhideWhenUsed/>
    <w:rsid w:val="00754AA4"/>
    <w:rPr>
      <w:color w:val="605E5C"/>
      <w:shd w:val="clear" w:color="auto" w:fill="E1DFDD"/>
    </w:rPr>
  </w:style>
  <w:style w:type="character" w:styleId="UnresolvedMention">
    <w:name w:val="Unresolved Mention"/>
    <w:basedOn w:val="DefaultParagraphFont"/>
    <w:uiPriority w:val="99"/>
    <w:semiHidden/>
    <w:unhideWhenUsed/>
    <w:rsid w:val="00EE7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4144">
      <w:bodyDiv w:val="1"/>
      <w:marLeft w:val="0"/>
      <w:marRight w:val="0"/>
      <w:marTop w:val="0"/>
      <w:marBottom w:val="0"/>
      <w:divBdr>
        <w:top w:val="none" w:sz="0" w:space="0" w:color="auto"/>
        <w:left w:val="none" w:sz="0" w:space="0" w:color="auto"/>
        <w:bottom w:val="none" w:sz="0" w:space="0" w:color="auto"/>
        <w:right w:val="none" w:sz="0" w:space="0" w:color="auto"/>
      </w:divBdr>
    </w:div>
    <w:div w:id="119149137">
      <w:bodyDiv w:val="1"/>
      <w:marLeft w:val="0"/>
      <w:marRight w:val="0"/>
      <w:marTop w:val="0"/>
      <w:marBottom w:val="0"/>
      <w:divBdr>
        <w:top w:val="none" w:sz="0" w:space="0" w:color="auto"/>
        <w:left w:val="none" w:sz="0" w:space="0" w:color="auto"/>
        <w:bottom w:val="none" w:sz="0" w:space="0" w:color="auto"/>
        <w:right w:val="none" w:sz="0" w:space="0" w:color="auto"/>
      </w:divBdr>
    </w:div>
    <w:div w:id="175965012">
      <w:bodyDiv w:val="1"/>
      <w:marLeft w:val="0"/>
      <w:marRight w:val="0"/>
      <w:marTop w:val="0"/>
      <w:marBottom w:val="0"/>
      <w:divBdr>
        <w:top w:val="none" w:sz="0" w:space="0" w:color="auto"/>
        <w:left w:val="none" w:sz="0" w:space="0" w:color="auto"/>
        <w:bottom w:val="none" w:sz="0" w:space="0" w:color="auto"/>
        <w:right w:val="none" w:sz="0" w:space="0" w:color="auto"/>
      </w:divBdr>
      <w:divsChild>
        <w:div w:id="416052369">
          <w:marLeft w:val="0"/>
          <w:marRight w:val="0"/>
          <w:marTop w:val="0"/>
          <w:marBottom w:val="0"/>
          <w:divBdr>
            <w:top w:val="none" w:sz="0" w:space="0" w:color="auto"/>
            <w:left w:val="none" w:sz="0" w:space="0" w:color="auto"/>
            <w:bottom w:val="none" w:sz="0" w:space="0" w:color="auto"/>
            <w:right w:val="none" w:sz="0" w:space="0" w:color="auto"/>
          </w:divBdr>
          <w:divsChild>
            <w:div w:id="714428389">
              <w:marLeft w:val="0"/>
              <w:marRight w:val="0"/>
              <w:marTop w:val="0"/>
              <w:marBottom w:val="0"/>
              <w:divBdr>
                <w:top w:val="none" w:sz="0" w:space="0" w:color="auto"/>
                <w:left w:val="none" w:sz="0" w:space="0" w:color="auto"/>
                <w:bottom w:val="none" w:sz="0" w:space="0" w:color="auto"/>
                <w:right w:val="none" w:sz="0" w:space="0" w:color="auto"/>
              </w:divBdr>
              <w:divsChild>
                <w:div w:id="1205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5163">
      <w:bodyDiv w:val="1"/>
      <w:marLeft w:val="0"/>
      <w:marRight w:val="0"/>
      <w:marTop w:val="0"/>
      <w:marBottom w:val="0"/>
      <w:divBdr>
        <w:top w:val="none" w:sz="0" w:space="0" w:color="auto"/>
        <w:left w:val="none" w:sz="0" w:space="0" w:color="auto"/>
        <w:bottom w:val="none" w:sz="0" w:space="0" w:color="auto"/>
        <w:right w:val="none" w:sz="0" w:space="0" w:color="auto"/>
      </w:divBdr>
    </w:div>
    <w:div w:id="583026741">
      <w:bodyDiv w:val="1"/>
      <w:marLeft w:val="0"/>
      <w:marRight w:val="0"/>
      <w:marTop w:val="0"/>
      <w:marBottom w:val="0"/>
      <w:divBdr>
        <w:top w:val="none" w:sz="0" w:space="0" w:color="auto"/>
        <w:left w:val="none" w:sz="0" w:space="0" w:color="auto"/>
        <w:bottom w:val="none" w:sz="0" w:space="0" w:color="auto"/>
        <w:right w:val="none" w:sz="0" w:space="0" w:color="auto"/>
      </w:divBdr>
    </w:div>
    <w:div w:id="584656206">
      <w:bodyDiv w:val="1"/>
      <w:marLeft w:val="0"/>
      <w:marRight w:val="0"/>
      <w:marTop w:val="0"/>
      <w:marBottom w:val="0"/>
      <w:divBdr>
        <w:top w:val="none" w:sz="0" w:space="0" w:color="auto"/>
        <w:left w:val="none" w:sz="0" w:space="0" w:color="auto"/>
        <w:bottom w:val="none" w:sz="0" w:space="0" w:color="auto"/>
        <w:right w:val="none" w:sz="0" w:space="0" w:color="auto"/>
      </w:divBdr>
    </w:div>
    <w:div w:id="758791917">
      <w:bodyDiv w:val="1"/>
      <w:marLeft w:val="0"/>
      <w:marRight w:val="0"/>
      <w:marTop w:val="0"/>
      <w:marBottom w:val="0"/>
      <w:divBdr>
        <w:top w:val="none" w:sz="0" w:space="0" w:color="auto"/>
        <w:left w:val="none" w:sz="0" w:space="0" w:color="auto"/>
        <w:bottom w:val="none" w:sz="0" w:space="0" w:color="auto"/>
        <w:right w:val="none" w:sz="0" w:space="0" w:color="auto"/>
      </w:divBdr>
    </w:div>
    <w:div w:id="788205137">
      <w:bodyDiv w:val="1"/>
      <w:marLeft w:val="0"/>
      <w:marRight w:val="0"/>
      <w:marTop w:val="0"/>
      <w:marBottom w:val="0"/>
      <w:divBdr>
        <w:top w:val="none" w:sz="0" w:space="0" w:color="auto"/>
        <w:left w:val="none" w:sz="0" w:space="0" w:color="auto"/>
        <w:bottom w:val="none" w:sz="0" w:space="0" w:color="auto"/>
        <w:right w:val="none" w:sz="0" w:space="0" w:color="auto"/>
      </w:divBdr>
      <w:divsChild>
        <w:div w:id="1160004544">
          <w:marLeft w:val="0"/>
          <w:marRight w:val="0"/>
          <w:marTop w:val="0"/>
          <w:marBottom w:val="0"/>
          <w:divBdr>
            <w:top w:val="none" w:sz="0" w:space="0" w:color="auto"/>
            <w:left w:val="none" w:sz="0" w:space="0" w:color="auto"/>
            <w:bottom w:val="none" w:sz="0" w:space="0" w:color="auto"/>
            <w:right w:val="none" w:sz="0" w:space="0" w:color="auto"/>
          </w:divBdr>
          <w:divsChild>
            <w:div w:id="608926697">
              <w:marLeft w:val="0"/>
              <w:marRight w:val="0"/>
              <w:marTop w:val="0"/>
              <w:marBottom w:val="0"/>
              <w:divBdr>
                <w:top w:val="none" w:sz="0" w:space="0" w:color="auto"/>
                <w:left w:val="none" w:sz="0" w:space="0" w:color="auto"/>
                <w:bottom w:val="none" w:sz="0" w:space="0" w:color="auto"/>
                <w:right w:val="none" w:sz="0" w:space="0" w:color="auto"/>
              </w:divBdr>
              <w:divsChild>
                <w:div w:id="1419642281">
                  <w:marLeft w:val="0"/>
                  <w:marRight w:val="0"/>
                  <w:marTop w:val="0"/>
                  <w:marBottom w:val="0"/>
                  <w:divBdr>
                    <w:top w:val="none" w:sz="0" w:space="0" w:color="auto"/>
                    <w:left w:val="none" w:sz="0" w:space="0" w:color="auto"/>
                    <w:bottom w:val="none" w:sz="0" w:space="0" w:color="auto"/>
                    <w:right w:val="none" w:sz="0" w:space="0" w:color="auto"/>
                  </w:divBdr>
                  <w:divsChild>
                    <w:div w:id="17111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40137">
      <w:bodyDiv w:val="1"/>
      <w:marLeft w:val="0"/>
      <w:marRight w:val="0"/>
      <w:marTop w:val="0"/>
      <w:marBottom w:val="0"/>
      <w:divBdr>
        <w:top w:val="none" w:sz="0" w:space="0" w:color="auto"/>
        <w:left w:val="none" w:sz="0" w:space="0" w:color="auto"/>
        <w:bottom w:val="none" w:sz="0" w:space="0" w:color="auto"/>
        <w:right w:val="none" w:sz="0" w:space="0" w:color="auto"/>
      </w:divBdr>
      <w:divsChild>
        <w:div w:id="465659599">
          <w:marLeft w:val="0"/>
          <w:marRight w:val="0"/>
          <w:marTop w:val="0"/>
          <w:marBottom w:val="0"/>
          <w:divBdr>
            <w:top w:val="none" w:sz="0" w:space="0" w:color="auto"/>
            <w:left w:val="none" w:sz="0" w:space="0" w:color="auto"/>
            <w:bottom w:val="none" w:sz="0" w:space="0" w:color="auto"/>
            <w:right w:val="none" w:sz="0" w:space="0" w:color="auto"/>
          </w:divBdr>
          <w:divsChild>
            <w:div w:id="829373588">
              <w:marLeft w:val="0"/>
              <w:marRight w:val="0"/>
              <w:marTop w:val="0"/>
              <w:marBottom w:val="0"/>
              <w:divBdr>
                <w:top w:val="none" w:sz="0" w:space="0" w:color="auto"/>
                <w:left w:val="none" w:sz="0" w:space="0" w:color="auto"/>
                <w:bottom w:val="none" w:sz="0" w:space="0" w:color="auto"/>
                <w:right w:val="none" w:sz="0" w:space="0" w:color="auto"/>
              </w:divBdr>
              <w:divsChild>
                <w:div w:id="220334152">
                  <w:marLeft w:val="0"/>
                  <w:marRight w:val="0"/>
                  <w:marTop w:val="0"/>
                  <w:marBottom w:val="0"/>
                  <w:divBdr>
                    <w:top w:val="none" w:sz="0" w:space="0" w:color="auto"/>
                    <w:left w:val="none" w:sz="0" w:space="0" w:color="auto"/>
                    <w:bottom w:val="none" w:sz="0" w:space="0" w:color="auto"/>
                    <w:right w:val="none" w:sz="0" w:space="0" w:color="auto"/>
                  </w:divBdr>
                  <w:divsChild>
                    <w:div w:id="9224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4795">
      <w:bodyDiv w:val="1"/>
      <w:marLeft w:val="0"/>
      <w:marRight w:val="0"/>
      <w:marTop w:val="0"/>
      <w:marBottom w:val="0"/>
      <w:divBdr>
        <w:top w:val="none" w:sz="0" w:space="0" w:color="auto"/>
        <w:left w:val="none" w:sz="0" w:space="0" w:color="auto"/>
        <w:bottom w:val="none" w:sz="0" w:space="0" w:color="auto"/>
        <w:right w:val="none" w:sz="0" w:space="0" w:color="auto"/>
      </w:divBdr>
    </w:div>
    <w:div w:id="1034354846">
      <w:bodyDiv w:val="1"/>
      <w:marLeft w:val="0"/>
      <w:marRight w:val="0"/>
      <w:marTop w:val="0"/>
      <w:marBottom w:val="0"/>
      <w:divBdr>
        <w:top w:val="none" w:sz="0" w:space="0" w:color="auto"/>
        <w:left w:val="none" w:sz="0" w:space="0" w:color="auto"/>
        <w:bottom w:val="none" w:sz="0" w:space="0" w:color="auto"/>
        <w:right w:val="none" w:sz="0" w:space="0" w:color="auto"/>
      </w:divBdr>
    </w:div>
    <w:div w:id="1403913182">
      <w:bodyDiv w:val="1"/>
      <w:marLeft w:val="0"/>
      <w:marRight w:val="0"/>
      <w:marTop w:val="0"/>
      <w:marBottom w:val="0"/>
      <w:divBdr>
        <w:top w:val="none" w:sz="0" w:space="0" w:color="auto"/>
        <w:left w:val="none" w:sz="0" w:space="0" w:color="auto"/>
        <w:bottom w:val="none" w:sz="0" w:space="0" w:color="auto"/>
        <w:right w:val="none" w:sz="0" w:space="0" w:color="auto"/>
      </w:divBdr>
    </w:div>
    <w:div w:id="1414813626">
      <w:bodyDiv w:val="1"/>
      <w:marLeft w:val="0"/>
      <w:marRight w:val="0"/>
      <w:marTop w:val="0"/>
      <w:marBottom w:val="0"/>
      <w:divBdr>
        <w:top w:val="none" w:sz="0" w:space="0" w:color="auto"/>
        <w:left w:val="none" w:sz="0" w:space="0" w:color="auto"/>
        <w:bottom w:val="none" w:sz="0" w:space="0" w:color="auto"/>
        <w:right w:val="none" w:sz="0" w:space="0" w:color="auto"/>
      </w:divBdr>
    </w:div>
    <w:div w:id="20634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rpa-europe.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569BBE"/>
      </a:accent1>
      <a:accent2>
        <a:srgbClr val="FF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2" ma:contentTypeDescription="Create a new document." ma:contentTypeScope="" ma:versionID="155363b1ed88390a5ca1be7f929f09d8">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b59c67fcb1c1f45cb5ae24d5389000f0"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Ron18</b:Tag>
    <b:SourceType>Report</b:SourceType>
    <b:Guid>{33AB0477-F6A0-499F-ACD6-E73D3549D194}</b:Guid>
    <b:Author>
      <b:Author>
        <b:Corporate>Ronzon</b:Corporate>
      </b:Author>
    </b:Author>
    <b:Title>Socioeconomic Indicators to Monitor the EU’s Bioeconomy in Transition</b:Title>
    <b:Year>2018</b:Year>
    <b:Publisher>Sustainability 2018, 10(6), 1745</b:Publisher>
    <b:URL>https://www.mdpi.com/2071-1050/10/6/1745/htm</b:URL>
    <b:RefOrder>1</b:RefOrder>
  </b:Source>
  <b:Source>
    <b:Tag>Eur181</b:Tag>
    <b:SourceType>Report</b:SourceType>
    <b:Guid>{9B39DE12-FECD-4FC6-8CEF-033C6B1C69C4}</b:Guid>
    <b:Author>
      <b:Author>
        <b:Corporate>European Environment Agency</b:Corporate>
      </b:Author>
    </b:Author>
    <b:Title>The circular economy and the bioeconomy</b:Title>
    <b:Year>2018</b:Year>
    <b:RefOrder>2</b:RefOrder>
  </b:Source>
  <b:Source>
    <b:Tag>Eur161</b:Tag>
    <b:SourceType>Report</b:SourceType>
    <b:Guid>{9768EA56-312A-458C-8D9C-993C48F18FD6}</b:Guid>
    <b:Author>
      <b:Author>
        <b:Corporate>European Bioplastics</b:Corporate>
      </b:Author>
    </b:Author>
    <b:Title>Bioplastics — Facts and figures</b:Title>
    <b:Year>2016</b:Year>
    <b:RefOrder>3</b:RefOrder>
  </b:Source>
  <b:Source>
    <b:Tag>van17</b:Tag>
    <b:SourceType>Report</b:SourceType>
    <b:Guid>{4F6039D6-38E5-4023-945E-42BB19065CD2}</b:Guid>
    <b:Author>
      <b:Author>
        <b:Corporate>van den Oever</b:Corporate>
      </b:Author>
    </b:Author>
    <b:Title>Bio-based and biodegradable plastics: facts and figures: focus on food packaging in the Netherlands</b:Title>
    <b:Year>2017</b:Year>
    <b:Publisher>Wageningen Food &amp; Biobased Research 1722,</b:Publisher>
    <b:RefOrder>4</b:RefOrder>
  </b:Source>
  <b:Source>
    <b:Tag>Eur12</b:Tag>
    <b:SourceType>Report</b:SourceType>
    <b:Guid>{ACE96EE1-1A36-48D0-B080-9849E6E765D6}</b:Guid>
    <b:Author>
      <b:Author>
        <b:Corporate>European Commission</b:Corporate>
      </b:Author>
    </b:Author>
    <b:Title>Innovating for Sustainable Growth - A Bioeconomy for Europe</b:Title>
    <b:Year>2012</b:Year>
    <b:Publisher>Directorate-General for Research and Innovation</b:Publisher>
    <b:RefOrder>5</b:RefOrder>
  </b:Source>
  <b:Source>
    <b:Tag>Eur17</b:Tag>
    <b:SourceType>Report</b:SourceType>
    <b:Guid>{DEEB33DB-E67F-47BC-B072-7CA4924BDF25}</b:Guid>
    <b:Author>
      <b:Author>
        <b:Corporate>European Commission</b:Corporate>
      </b:Author>
    </b:Author>
    <b:Title>Bioplastics: Sustainable materials for building a strong and circular European bioeconomy</b:Title>
    <b:Year>2017</b:Year>
    <b:Publisher>The Community Research and Development Information Service (CORDIS)</b:Publisher>
    <b:RefOrder>6</b:RefOrder>
  </b:Source>
  <b:Source>
    <b:Tag>Eur121</b:Tag>
    <b:SourceType>Report</b:SourceType>
    <b:Guid>{40B5A240-AB49-4BF0-A149-822C4B29FD64}</b:Guid>
    <b:Author>
      <b:Author>
        <b:Corporate>European Commission</b:Corporate>
      </b:Author>
    </b:Author>
    <b:Year>2012</b:Year>
    <b:Title>Investing in European Success - Developing a Bioeconomy using resources from land and sea</b:Title>
    <b:Publisher>Directorate-General for Research and Innovation</b:Publisher>
    <b:RefOrder>7</b:RefOrder>
  </b:Source>
  <b:Source>
    <b:Tag>WEF16</b:Tag>
    <b:SourceType>Report</b:SourceType>
    <b:Guid>{0E9BB769-B994-484C-8763-49A3B6CD0C9A}</b:Guid>
    <b:Author>
      <b:Author>
        <b:Corporate>WEF et al</b:Corporate>
      </b:Author>
    </b:Author>
    <b:Title>The new plastics economy — Rethinking the future of plastics</b:Title>
    <b:Year>2016</b:Year>
    <b:Publisher>World Economic Forum and Ellen MacArthur Foundation</b:Publisher>
    <b:RefOrder>8</b:RefOrder>
  </b:Source>
  <b:Source xmlns:b="http://schemas.openxmlformats.org/officeDocument/2006/bibliography">
    <b:Tag>Red11</b:Tag>
    <b:SourceType>Report</b:SourceType>
    <b:Guid>{32E6B22F-7951-4B0A-8F3E-E23EC54F079A}</b:Guid>
    <b:Author>
      <b:Author>
        <b:NameList>
          <b:Person>
            <b:Last>Reddy</b:Last>
            <b:First>P.</b:First>
            <b:Middle>S. and Nandini, N.</b:Middle>
          </b:Person>
        </b:NameList>
      </b:Author>
    </b:Author>
    <b:Title>Leachate characterization and assessment of groundwater pollution near municipal solid waste landfill site</b:Title>
    <b:Year>2011</b:Year>
    <b:Publisher>Nature Environment and Pollution Technology 10(3), pp. 415-418</b:Publisher>
    <b:RefOrder>9</b:RefOrder>
  </b:Source>
  <b:Source>
    <b:Tag>Eur16</b:Tag>
    <b:SourceType>Report</b:SourceType>
    <b:Guid>{473ADD71-566E-4714-ABCA-D1298D2F7384}</b:Guid>
    <b:Author>
      <b:Author>
        <b:Corporate>European Commission</b:Corporate>
      </b:Author>
    </b:Author>
    <b:Title>Biodegradable waste</b:Title>
    <b:Year>2016</b:Year>
    <b:URL>http://ec.europa.eu/environment/waste/compost/index.htm</b:URL>
    <b:RefOrder>10</b:RefOrder>
  </b:Source>
  <b:Source>
    <b:Tag>Eur15</b:Tag>
    <b:SourceType>Report</b:SourceType>
    <b:Guid>{CEC1BAEA-59B4-4CDF-8067-8BC52F686137}</b:Guid>
    <b:Author>
      <b:Author>
        <b:Corporate>European Commission</b:Corporate>
      </b:Author>
    </b:Author>
    <b:Title>Closing the loop — An EU action plan for the circular</b:Title>
    <b:Year>2015</b:Year>
    <b:RefOrder>11</b:RefOrder>
  </b:Source>
  <b:Source>
    <b:Tag>Eur162</b:Tag>
    <b:SourceType>Report</b:SourceType>
    <b:Guid>{72EA6287-43BA-4D31-B950-503E059EAFD3}</b:Guid>
    <b:Author>
      <b:Author>
        <b:Corporate>European Environment Agency</b:Corporate>
      </b:Author>
    </b:Author>
    <b:Title>Circular economy in Europe - Developing the knowledge base</b:Title>
    <b:Year>2016</b:Year>
    <b:Publisher>EEA Report 2/2016</b:Publisher>
    <b:RefOrder>12</b:RefOrder>
  </b:Source>
  <b:Source>
    <b:Tag>Eur11</b:Tag>
    <b:SourceType>Report</b:SourceType>
    <b:Guid>{4D2F20A1-6D0B-4772-8538-862E9CF28F71}</b:Guid>
    <b:Author>
      <b:Author>
        <b:Corporate>European Environment Agency</b:Corporate>
      </b:Author>
    </b:Author>
    <b:Title>Earnings, jobs and innovation: the role of recycling in a green economy</b:Title>
    <b:Year>2011</b:Year>
    <b:RefOrder>13</b:RefOrder>
  </b:Source>
  <b:Source>
    <b:Tag>RIV16</b:Tag>
    <b:SourceType>Report</b:SourceType>
    <b:Guid>{77F8E4BF-AE08-4C7E-9FCB-66A065880948}</b:Guid>
    <b:Author>
      <b:Author>
        <b:Corporate>RIVM</b:Corporate>
      </b:Author>
    </b:Author>
    <b:Title>Waste handling and REACH - Recycling of materials containing SVHCs: daily practice challenges</b:Title>
    <b:Year>2016</b:Year>
    <b:URL>http://www.rivm.nl/dsresource?objectid=c4ff06a2-3f04-4d59-a756-f51c4a36d730&amp;type=pdf&amp;disposition=inline</b:URL>
    <b:RefOrder>14</b:RefOrder>
  </b:Source>
  <b:Source>
    <b:Tag>RIV17</b:Tag>
    <b:SourceType>Report</b:SourceType>
    <b:Guid>{F81FD951-24E8-4EB1-9587-816608F972D1}</b:Guid>
    <b:Author>
      <b:Author>
        <b:Corporate>RIVM</b:Corporate>
      </b:Author>
    </b:Author>
    <b:Title>Substances of very high concern and the transition to a circular economy</b:Title>
    <b:Year>2017</b:Year>
    <b:URL>http://www.rivm.nl/dsresource?objectid=12a77551-d36f-472b-a366-aa286f86a5e2&amp;type=org&amp;disposition=inline </b:URL>
    <b:RefOrder>15</b:RefOrder>
  </b:Source>
  <b:Source>
    <b:Tag>Piv15</b:Tag>
    <b:SourceType>Report</b:SourceType>
    <b:Guid>{F3AB8FC2-1016-43F7-BEC3-B07B84A80C78}</b:Guid>
    <b:Author>
      <b:Author>
        <b:Corporate>Pivnenko</b:Corporate>
      </b:Author>
    </b:Author>
    <b:Title>Waste paper for recycling: Overview and identification of potentially critical substances</b:Title>
    <b:Year>2015</b:Year>
    <b:Publisher>Waste management 45, 134-142.</b:Publisher>
    <b:URL>http://orbit.dtu.dk/files/118749330/Overview_post_print_.pdf</b:URL>
    <b:RefOrder>16</b:RefOrder>
  </b:Source>
  <b:Source>
    <b:Tag>Mil17</b:Tag>
    <b:SourceType>Report</b:SourceType>
    <b:Guid>{DDE40EA3-175F-46DF-9CB7-7927449A911A}</b:Guid>
    <b:Author>
      <b:Author>
        <b:Corporate>Milieu</b:Corporate>
      </b:Author>
    </b:Author>
    <b:Title>Study for the strategy for a non-toxic environment of the 7th Environment Action Programme</b:Title>
    <b:Year>2017</b:Year>
    <b:URL>https://publications.europa.eu/en/publication-detail/-/publication/89fbbb74-969c-11e7-b92d-01aa75ed71a1/language-en/format-PDF </b:URL>
    <b:RefOrder>17</b:RefOrder>
  </b:Source>
</b:Sources>
</file>

<file path=customXml/itemProps1.xml><?xml version="1.0" encoding="utf-8"?>
<ds:datastoreItem xmlns:ds="http://schemas.openxmlformats.org/officeDocument/2006/customXml" ds:itemID="{D63D21E9-1553-431C-B6DB-1F44839FDA65}"/>
</file>

<file path=customXml/itemProps2.xml><?xml version="1.0" encoding="utf-8"?>
<ds:datastoreItem xmlns:ds="http://schemas.openxmlformats.org/officeDocument/2006/customXml" ds:itemID="{6DC1F902-D675-4F83-8703-29F760E9E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5C390-B9A0-403D-A656-78B66418EA06}">
  <ds:schemaRefs>
    <ds:schemaRef ds:uri="http://schemas.microsoft.com/sharepoint/v3/contenttype/forms"/>
  </ds:schemaRefs>
</ds:datastoreItem>
</file>

<file path=customXml/itemProps4.xml><?xml version="1.0" encoding="utf-8"?>
<ds:datastoreItem xmlns:ds="http://schemas.openxmlformats.org/officeDocument/2006/customXml" ds:itemID="{60E24E15-2FBE-406F-989F-07568027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6118</Words>
  <Characters>34877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Rebecca Johansen</cp:lastModifiedBy>
  <cp:revision>12</cp:revision>
  <dcterms:created xsi:type="dcterms:W3CDTF">2019-12-11T12:27:00Z</dcterms:created>
  <dcterms:modified xsi:type="dcterms:W3CDTF">2019-12-11T13:57:00Z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2c8fe0eb-ae83-36b1-8d24-7439fe133c27</vt:lpwstr>
  </property>
  <property fmtid="{D5CDD505-2E9C-101B-9397-08002B2CF9AE}" pid="24" name="Mendeley Citation Style_1">
    <vt:lpwstr>http://www.zotero.org/styles/harvard1</vt:lpwstr>
  </property>
  <property fmtid="{D5CDD505-2E9C-101B-9397-08002B2CF9AE}" pid="25" name="ContentTypeId">
    <vt:lpwstr>0x01010083875B7BFAFDF64C9394BFB5DCA3161C</vt:lpwstr>
  </property>
</Properties>
</file>