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386265" w:rsidRPr="00203685" w:rsidP="00F85ECB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203685">
        <w:rPr>
          <w:rFonts w:asciiTheme="majorHAnsi" w:hAnsiTheme="majorHAnsi"/>
          <w:b/>
        </w:rPr>
        <w:t>Estudo de biomonitorização profissional da HBM4EU sobre o crómio e outras substâncias químicas nocivas</w:t>
      </w:r>
    </w:p>
    <w:p w:rsidR="00386265" w:rsidRPr="00203685" w:rsidP="00F85ECB">
      <w:pPr>
        <w:spacing w:after="120"/>
        <w:contextualSpacing/>
        <w:jc w:val="center"/>
        <w:rPr>
          <w:rFonts w:asciiTheme="majorHAnsi" w:hAnsiTheme="majorHAnsi"/>
          <w:b/>
          <w:szCs w:val="24"/>
        </w:rPr>
      </w:pPr>
      <w:r w:rsidRPr="00203685">
        <w:rPr>
          <w:rFonts w:asciiTheme="majorHAnsi" w:hAnsiTheme="majorHAnsi"/>
          <w:b/>
        </w:rPr>
        <w:t>Informações para os trabalhadores participantes</w:t>
      </w:r>
    </w:p>
    <w:p w:rsidR="00386265" w:rsidRPr="00203685" w:rsidP="00F85ECB">
      <w:pPr>
        <w:spacing w:after="120"/>
        <w:contextualSpacing/>
        <w:rPr>
          <w:rFonts w:asciiTheme="majorHAnsi" w:hAnsiTheme="majorHAnsi"/>
          <w:b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Convidamo-lo a participar num estudo de investigação. </w:t>
      </w:r>
      <w:r w:rsidRPr="00203685">
        <w:rPr>
          <w:rFonts w:asciiTheme="majorHAnsi" w:hAnsiTheme="majorHAnsi"/>
          <w:sz w:val="24"/>
        </w:rPr>
        <w:t>Leia as informações que seguem para ficar a saber por que motivo a investigação está a ser realizada e o que implica. Temos todo o prazer em responder a quaisquer perguntas ou dúvidas que possa ter.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Acerca da HBM4EU – Iniciativa Europeia de Biomonitorizaç</w:t>
      </w:r>
      <w:r w:rsidRPr="00203685">
        <w:rPr>
          <w:rFonts w:asciiTheme="majorHAnsi" w:hAnsiTheme="majorHAnsi"/>
          <w:b/>
          <w:sz w:val="24"/>
        </w:rPr>
        <w:t>ão Humana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Na vida quotidiana, as pessoas estão expostas a uma mistura complexa de produtos químicos. Estes produtos químicos podem ser encontrados no ambiente, nos produtos de consumo, nos alimentos e na água potável, bem como nos locais de trabalho.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A bi</w:t>
      </w:r>
      <w:r w:rsidRPr="00203685">
        <w:rPr>
          <w:rFonts w:asciiTheme="majorHAnsi" w:hAnsiTheme="majorHAnsi"/>
          <w:sz w:val="24"/>
        </w:rPr>
        <w:t>omonitorização humana implica a colheita de amostras, nomeadamente de sangue, cabelo, saliva ou urina de pessoas, e a medição dos níveis dos indicadores dos produtos químicos visados. A HBM4EU (Biomonitorização Humana para a Europa) é um estudo europeu que</w:t>
      </w:r>
      <w:r w:rsidRPr="00203685">
        <w:rPr>
          <w:rFonts w:asciiTheme="majorHAnsi" w:hAnsiTheme="majorHAnsi"/>
          <w:sz w:val="24"/>
        </w:rPr>
        <w:t xml:space="preserve"> visa harmonizar e utilizar a biomonitorização humana para compreender a exposição das pessoas a esses produtos químicos e os riscos conexos para a saúde, a fim de melhorar a gestão dos riscos químicos. Nos locais de trabalho, a biomonitorização humana pod</w:t>
      </w:r>
      <w:r w:rsidRPr="00203685">
        <w:rPr>
          <w:rFonts w:asciiTheme="majorHAnsi" w:hAnsiTheme="majorHAnsi"/>
          <w:sz w:val="24"/>
        </w:rPr>
        <w:t>e fornecer-nos informações acerca da necessidade de reduzir a exposição. A HBM4EU é financiada pela Comissão Europeia e pelos governos nacionais. Conta com a colaboração de peritos de 28 países e agências da União Europeia e será realizado entre 2017 e 202</w:t>
      </w:r>
      <w:r w:rsidRPr="00203685">
        <w:rPr>
          <w:rFonts w:asciiTheme="majorHAnsi" w:hAnsiTheme="majorHAnsi"/>
          <w:sz w:val="24"/>
        </w:rPr>
        <w:t xml:space="preserve">1. Para mais informações, consulte </w:t>
      </w:r>
      <w:r>
        <w:fldChar w:fldCharType="begin"/>
      </w:r>
      <w:r>
        <w:instrText xml:space="preserve"> HYPERLINK "https://www.hbm4eu.eu/" </w:instrText>
      </w:r>
      <w:r>
        <w:fldChar w:fldCharType="separate"/>
      </w:r>
      <w:r w:rsidRPr="00203685">
        <w:rPr>
          <w:rStyle w:val="Hyperlink"/>
          <w:rFonts w:asciiTheme="majorHAnsi" w:hAnsiTheme="majorHAnsi"/>
          <w:sz w:val="24"/>
        </w:rPr>
        <w:t>https://www.hbm4eu.eu/</w:t>
      </w:r>
      <w:r>
        <w:fldChar w:fldCharType="end"/>
      </w:r>
      <w:r w:rsidRPr="00203685">
        <w:rPr>
          <w:rFonts w:asciiTheme="majorHAnsi" w:hAnsiTheme="majorHAnsi"/>
          <w:sz w:val="24"/>
        </w:rPr>
        <w:t xml:space="preserve">.  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Sobre o estudo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Queremos saber se as atuais medidas de controlo e segurança aplicadas nos locais de trabalho pela Europa são eficazes para proteger os trabal</w:t>
      </w:r>
      <w:r w:rsidRPr="00203685">
        <w:rPr>
          <w:rFonts w:asciiTheme="majorHAnsi" w:hAnsiTheme="majorHAnsi"/>
          <w:sz w:val="24"/>
        </w:rPr>
        <w:t xml:space="preserve">hadores contra a exposição ao crómio hexavalente (Cr(VI)) e a outros produtos químicos nocivos. Além disso, queremos estudar novos métodos para avaliar a exposição a esses produtos químicos.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O estudo foi aprovado pela [</w:t>
      </w:r>
      <w:r w:rsidRPr="00203685">
        <w:rPr>
          <w:rFonts w:asciiTheme="majorHAnsi" w:hAnsiTheme="majorHAnsi"/>
          <w:i/>
          <w:color w:val="FF0000"/>
          <w:sz w:val="24"/>
        </w:rPr>
        <w:t>Comissão Nacional de Bioética</w:t>
      </w:r>
      <w:r w:rsidRPr="00203685">
        <w:rPr>
          <w:rFonts w:asciiTheme="majorHAnsi" w:hAnsiTheme="majorHAnsi"/>
          <w:sz w:val="24"/>
        </w:rPr>
        <w:t>] e est</w:t>
      </w:r>
      <w:r w:rsidRPr="00203685">
        <w:rPr>
          <w:rFonts w:asciiTheme="majorHAnsi" w:hAnsiTheme="majorHAnsi"/>
          <w:sz w:val="24"/>
        </w:rPr>
        <w:t>á em conformidade com o regulamento relativo à proteção de dados.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Porque fui escolhido?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Estamos a convidar trabalhadores cujas funções impliquem uma eventual exposição ao crómio hexavalente (Cr(VI)) (soldadura, metalização, tratamento de superfícies) e tr</w:t>
      </w:r>
      <w:r w:rsidRPr="00203685">
        <w:rPr>
          <w:rFonts w:asciiTheme="majorHAnsi" w:hAnsiTheme="majorHAnsi"/>
          <w:sz w:val="24"/>
        </w:rPr>
        <w:t>abalhadores que não exerçam esse tipo de funções, para comparação. Foi escolhido porque trabalha num local em que pode ser exposto a crómio hexavalente (Cr(VI)) ou porque o consideramos uma pessoa adequada para controlo, dad</w:t>
      </w:r>
      <w:bookmarkStart w:id="0" w:name="_GoBack"/>
      <w:bookmarkEnd w:id="0"/>
      <w:r w:rsidRPr="00203685">
        <w:rPr>
          <w:rFonts w:asciiTheme="majorHAnsi" w:hAnsiTheme="majorHAnsi"/>
          <w:sz w:val="24"/>
        </w:rPr>
        <w:t>o que o seu trabalho não implica</w:t>
      </w:r>
      <w:r w:rsidRPr="00203685">
        <w:rPr>
          <w:rFonts w:asciiTheme="majorHAnsi" w:hAnsiTheme="majorHAnsi"/>
          <w:sz w:val="24"/>
        </w:rPr>
        <w:t xml:space="preserve"> exposições dessa natureza. O seu empregador aceitou participar no estudo e concordou em o autorizar a participar, se assim o decidir.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Que tenho de fazer se aceitar participar?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Não tem de mudar a sua rotina habitual, uma vez que o estudo será realizado du</w:t>
      </w:r>
      <w:r w:rsidRPr="00203685">
        <w:rPr>
          <w:rFonts w:asciiTheme="majorHAnsi" w:hAnsiTheme="majorHAnsi"/>
          <w:sz w:val="24"/>
        </w:rPr>
        <w:t xml:space="preserve">rante as horas normais de trabalho. Se decidir participar, deve confirmar o seu acordo, mediante o preenchimento e a assinatura do formulário de consentimento anexo.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Em seguida, definiremos um horário adequado para a realização do estudo. Durante a seman</w:t>
      </w:r>
      <w:r w:rsidRPr="00203685">
        <w:rPr>
          <w:rFonts w:asciiTheme="majorHAnsi" w:hAnsiTheme="majorHAnsi"/>
          <w:sz w:val="24"/>
        </w:rPr>
        <w:t>a de trabalho, irá conhecer os investigadores para a colheita de amostras.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Se as suas funções incluem a soldadura de aço inoxidável, a cromagem ou o tratamento de superfícies com crómio, ser-lhe-á pedido que faculte:</w:t>
      </w:r>
    </w:p>
    <w:p w:rsidR="00386265" w:rsidRPr="00203685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Amostras de ar expirado, que serão </w:t>
      </w:r>
      <w:r w:rsidRPr="00203685">
        <w:rPr>
          <w:rFonts w:asciiTheme="majorHAnsi" w:hAnsiTheme="majorHAnsi"/>
          <w:sz w:val="24"/>
        </w:rPr>
        <w:t>colhidas do seguinte modo: deverá respirar normalmente para um tubo esterilizado descartável durante cerca de 15 minutos, no início e no final da sua semana de trabalho.</w:t>
      </w:r>
    </w:p>
    <w:p w:rsidR="00386265" w:rsidRPr="00203685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Amostras de urina, colhidas antes do seu turno no início da semana de trabalho e após </w:t>
      </w:r>
      <w:r w:rsidRPr="00203685">
        <w:rPr>
          <w:rFonts w:asciiTheme="majorHAnsi" w:hAnsiTheme="majorHAnsi"/>
          <w:sz w:val="24"/>
        </w:rPr>
        <w:t>o seu turno no final da semana de trabalho. Fornecer-lhe-emos o frasco para a colheita, que poderá entregar ao investigador.</w:t>
      </w:r>
    </w:p>
    <w:p w:rsidR="00386265" w:rsidRPr="00203685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Duas pequenas amostras de sangue (16 ml), que serão colhidas de uma veia do braço. As amostras de sangue serão colhidas após o turn</w:t>
      </w:r>
      <w:r w:rsidRPr="00203685">
        <w:rPr>
          <w:rFonts w:asciiTheme="majorHAnsi" w:hAnsiTheme="majorHAnsi"/>
          <w:sz w:val="24"/>
        </w:rPr>
        <w:t>o, de preferência no final da semana de trabalho ou, pelo menos, após um ou dois dias de trabalho.</w:t>
      </w:r>
    </w:p>
    <w:p w:rsidR="00386265" w:rsidRPr="00203685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Deverá igualmente responder a um questionário com perguntas sobre as suas tarefas laborais, o seu equipamento de proteção individual e aspetos relacionados c</w:t>
      </w:r>
      <w:r w:rsidRPr="00203685">
        <w:rPr>
          <w:rFonts w:asciiTheme="majorHAnsi" w:hAnsiTheme="majorHAnsi"/>
          <w:sz w:val="24"/>
        </w:rPr>
        <w:t>om o seu estilo de vida suscetíveis de afetar os resultados das análises químicas.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A alguns (não a todos) participantes, solicitaremos ainda amostras de ar pessoal, que serão colhidas mediante o uso, durante um dia de trabalho, de um dispositivo específico</w:t>
      </w:r>
      <w:r w:rsidRPr="00203685">
        <w:rPr>
          <w:rFonts w:asciiTheme="majorHAnsi" w:hAnsiTheme="majorHAnsi"/>
          <w:sz w:val="24"/>
        </w:rPr>
        <w:t xml:space="preserve"> de colheita de amostras de ar no seu vestuário de trabalho, enquanto realizam as suas tarefas normais. Poderão ainda ser colhidas amostras dos toalhetes a que limpa as mãos, para medir a contaminação das suas mãos.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Opcionalmente, e apenas se autorizar, p</w:t>
      </w:r>
      <w:r w:rsidRPr="00203685">
        <w:rPr>
          <w:rFonts w:asciiTheme="majorHAnsi" w:hAnsiTheme="majorHAnsi"/>
          <w:sz w:val="24"/>
        </w:rPr>
        <w:t xml:space="preserve">oderemos tirar fotografias ou gravar vídeos para documentar o seu espaço e as suas práticas de trabalho. Esse material será desfocado para proteger a sua identidade e a da sua empresa. Contudo, poderá participar do estudo sem estar presente em fotografias </w:t>
      </w:r>
      <w:r w:rsidRPr="00203685">
        <w:rPr>
          <w:rFonts w:asciiTheme="majorHAnsi" w:hAnsiTheme="majorHAnsi"/>
          <w:sz w:val="24"/>
        </w:rPr>
        <w:t>ou vídeos.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Se as suas funções não incluem a soldadura de aço inoxidável, a cromagem ou o tratamento de superfícies com crómio, ser-lhe-á pedido que faculte:</w:t>
      </w:r>
    </w:p>
    <w:p w:rsidR="00386265" w:rsidRPr="00203685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Uma amostra da sua primeira urina da manhã, colhida antes de se encontrar com o investigador. Forn</w:t>
      </w:r>
      <w:r w:rsidRPr="00203685">
        <w:rPr>
          <w:rFonts w:asciiTheme="majorHAnsi" w:hAnsiTheme="majorHAnsi"/>
          <w:sz w:val="24"/>
        </w:rPr>
        <w:t xml:space="preserve">ecer-lhe-emos o frasco para a colheita, que poderá entregar ao investigador. </w:t>
      </w:r>
    </w:p>
    <w:p w:rsidR="00386265" w:rsidRPr="00203685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Uma amostra de ar expirado, que será colhida do seguinte modo: deverá respirar normalmente para um tubo esterilizado descartável durante cerca de 15 minutos. </w:t>
      </w:r>
    </w:p>
    <w:p w:rsidR="00386265" w:rsidRPr="00203685" w:rsidP="00F85ECB">
      <w:pPr>
        <w:pStyle w:val="ListParagraph"/>
        <w:numPr>
          <w:ilvl w:val="0"/>
          <w:numId w:val="3"/>
        </w:numPr>
        <w:spacing w:after="120"/>
        <w:ind w:left="568" w:hanging="284"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Duas pequenas </w:t>
      </w:r>
      <w:r w:rsidRPr="00203685">
        <w:rPr>
          <w:rFonts w:asciiTheme="majorHAnsi" w:hAnsiTheme="majorHAnsi"/>
          <w:sz w:val="24"/>
        </w:rPr>
        <w:t>amostras de sangue (16 ml), que serão colhidas de uma veia do braço a qualquer momento, durante a semana de trabalho.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As amostras de sangue e de ar expirado serão colhidas por um profissional de saúde.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Que vai acontecer às minhas amostras, dados e resulta</w:t>
      </w:r>
      <w:r w:rsidRPr="00203685">
        <w:rPr>
          <w:rFonts w:asciiTheme="majorHAnsi" w:hAnsiTheme="majorHAnsi"/>
          <w:b/>
          <w:sz w:val="24"/>
        </w:rPr>
        <w:t>dos?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O seu nome será substituído por um código, para proteger a sua privacidade, e as amostras serão transferidas para laboratórios especializados, para análise.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As suas amostras serão analisadas para medir a sua exposição ao crómio hexavalente. Consoante</w:t>
      </w:r>
      <w:r w:rsidRPr="00203685">
        <w:rPr>
          <w:rFonts w:asciiTheme="majorHAnsi" w:hAnsiTheme="majorHAnsi"/>
          <w:sz w:val="24"/>
        </w:rPr>
        <w:t xml:space="preserve"> as suas tarefas laborais, serão igualmente analisadas para medir o níquel e o manganês (se trabalhar como soldador), níquel (se as suas tarefas incluírem a niquelagem) ou substâncias polifluoradas (se trabalhar com cromagem por imersão), que podem ser tam</w:t>
      </w:r>
      <w:r w:rsidRPr="00203685">
        <w:rPr>
          <w:rFonts w:asciiTheme="majorHAnsi" w:hAnsiTheme="majorHAnsi"/>
          <w:sz w:val="24"/>
        </w:rPr>
        <w:t>bém importantes contaminantes químicos quando se executam estas tarefas. As amostras de sangue e urina podem ainda ser analisadas para detetar os efeitos celulares iniciais e reversíveis do crómio, a fim de estudar a utilidade destas análises na vigilância</w:t>
      </w:r>
      <w:r w:rsidRPr="00203685">
        <w:rPr>
          <w:rFonts w:asciiTheme="majorHAnsi" w:hAnsiTheme="majorHAnsi"/>
          <w:sz w:val="24"/>
        </w:rPr>
        <w:t xml:space="preserve"> da saúde dos trabalhadores.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As suas amostras não serão analisadas para medir álcool, medicamentos ou drogas ilegais.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Os seus dados anonimizados, bem como os dos outros participantes, serão armazenados e utilizados para fins de investigação, podendo ser </w:t>
      </w:r>
      <w:r w:rsidRPr="00203685">
        <w:rPr>
          <w:rFonts w:asciiTheme="majorHAnsi" w:hAnsiTheme="majorHAnsi"/>
          <w:sz w:val="24"/>
        </w:rPr>
        <w:t>combinados com outros dados de diferentes fontes. As suas amostras anonimizadas serão armazenadas em [</w:t>
      </w:r>
      <w:r w:rsidRPr="00203685">
        <w:rPr>
          <w:rFonts w:asciiTheme="majorHAnsi" w:hAnsiTheme="majorHAnsi"/>
          <w:color w:val="FF0000"/>
          <w:sz w:val="24"/>
        </w:rPr>
        <w:t>especificar local e período de armazenagem</w:t>
      </w:r>
      <w:r w:rsidRPr="00203685">
        <w:rPr>
          <w:rFonts w:asciiTheme="majorHAnsi" w:hAnsiTheme="majorHAnsi"/>
          <w:sz w:val="24"/>
        </w:rPr>
        <w:t>] para serem utilizadas em futuros estudos de biomonitorização eticamente aprovados para estudar a exposição quí</w:t>
      </w:r>
      <w:r w:rsidRPr="00203685">
        <w:rPr>
          <w:rFonts w:asciiTheme="majorHAnsi" w:hAnsiTheme="majorHAnsi"/>
          <w:sz w:val="24"/>
        </w:rPr>
        <w:t xml:space="preserve">mica.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Os seus resultados </w:t>
      </w:r>
      <w:r w:rsidRPr="00203685">
        <w:rPr>
          <w:rFonts w:asciiTheme="majorHAnsi" w:hAnsiTheme="majorHAnsi"/>
          <w:i/>
          <w:sz w:val="24"/>
        </w:rPr>
        <w:t>pessoais</w:t>
      </w:r>
      <w:r w:rsidRPr="00203685">
        <w:rPr>
          <w:rFonts w:asciiTheme="majorHAnsi" w:hAnsiTheme="majorHAnsi"/>
          <w:sz w:val="24"/>
        </w:rPr>
        <w:t xml:space="preserve"> relativos ao crómio na urina ser-lhe-ão comunicados [</w:t>
      </w:r>
      <w:r w:rsidRPr="00203685">
        <w:rPr>
          <w:rFonts w:asciiTheme="majorHAnsi" w:hAnsiTheme="majorHAnsi"/>
          <w:color w:val="FF0000"/>
          <w:sz w:val="24"/>
        </w:rPr>
        <w:t>num prazo de aproximadamente XX semanas/meses até NNNN</w:t>
      </w:r>
      <w:r w:rsidRPr="00203685">
        <w:rPr>
          <w:rFonts w:asciiTheme="majorHAnsi" w:hAnsiTheme="majorHAnsi"/>
          <w:sz w:val="24"/>
        </w:rPr>
        <w:t>], a menos que nos informe que não deseja recebê-los. Quando os resultados globais do estudo estiverem disponívei</w:t>
      </w:r>
      <w:r w:rsidRPr="00203685">
        <w:rPr>
          <w:rFonts w:asciiTheme="majorHAnsi" w:hAnsiTheme="majorHAnsi"/>
          <w:sz w:val="24"/>
        </w:rPr>
        <w:t>s, receberá o resumo dos resultados coletivos de todas as empresas participantes.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 xml:space="preserve">O seu empregador receberá os resultados coletivos de todos os trabalhadores, mas não receberá quaisquer resultados individuais. Os resultados </w:t>
      </w:r>
      <w:r w:rsidRPr="00203685">
        <w:rPr>
          <w:rFonts w:asciiTheme="majorHAnsi" w:hAnsiTheme="majorHAnsi"/>
          <w:i/>
          <w:sz w:val="24"/>
        </w:rPr>
        <w:t>coletivos</w:t>
      </w:r>
      <w:r w:rsidRPr="00203685">
        <w:rPr>
          <w:rFonts w:asciiTheme="majorHAnsi" w:hAnsiTheme="majorHAnsi"/>
          <w:sz w:val="24"/>
        </w:rPr>
        <w:t xml:space="preserve"> de todas as empresas </w:t>
      </w:r>
      <w:r w:rsidRPr="00203685">
        <w:rPr>
          <w:rFonts w:asciiTheme="majorHAnsi" w:hAnsiTheme="majorHAnsi"/>
          <w:sz w:val="24"/>
        </w:rPr>
        <w:t xml:space="preserve">participantes serão publicados na forma de relatório do estudo, que estará disponível ao público em </w:t>
      </w:r>
      <w:r>
        <w:fldChar w:fldCharType="begin"/>
      </w:r>
      <w:r>
        <w:instrText xml:space="preserve"> HYPERLINK "https://www.hbm4eu.eu/" </w:instrText>
      </w:r>
      <w:r>
        <w:fldChar w:fldCharType="separate"/>
      </w:r>
      <w:r w:rsidRPr="00203685">
        <w:rPr>
          <w:rStyle w:val="Hyperlink"/>
          <w:rFonts w:asciiTheme="majorHAnsi" w:hAnsiTheme="majorHAnsi"/>
          <w:sz w:val="24"/>
        </w:rPr>
        <w:t>https://www.hbm4eu.eu/</w:t>
      </w:r>
      <w:r>
        <w:fldChar w:fldCharType="end"/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Como será garantida a minha privacidade?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A HBM4EU está em conformidade com o regulamento da UE relativo à proteção de dados. Garantimos o seu anonimato mediante a substituição do seu nome por um código e a proteção de todos os registos eletrónicos e em papel contra qualquer acesso não autorizado.</w:t>
      </w:r>
      <w:r w:rsidRPr="00203685">
        <w:rPr>
          <w:rFonts w:asciiTheme="majorHAnsi" w:hAnsiTheme="majorHAnsi"/>
          <w:sz w:val="24"/>
        </w:rPr>
        <w:t xml:space="preserve"> Os relatórios do estudo publicados não conterão informações suscetíveis de o identificar a si ou à sua empresa. Nem o seu empregador nem terceiros terão acesso aos seus resultados pessoais sem o seu consentimento expresso.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Porque necessitam do meu consen</w:t>
      </w:r>
      <w:r w:rsidRPr="00203685">
        <w:rPr>
          <w:rFonts w:asciiTheme="majorHAnsi" w:hAnsiTheme="majorHAnsi"/>
          <w:b/>
          <w:sz w:val="24"/>
        </w:rPr>
        <w:t>timento por escrito?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O seu consentimento por escrito confirma que se disponibiliza voluntariamente para participar no estudo e que sabe o que lhe é pedido e com que finalidade. Confirma ainda que estamos autorizados a contactá-lo futuramente para o informa</w:t>
      </w:r>
      <w:r w:rsidRPr="00203685">
        <w:rPr>
          <w:rFonts w:asciiTheme="majorHAnsi" w:hAnsiTheme="majorHAnsi"/>
          <w:sz w:val="24"/>
        </w:rPr>
        <w:t>r acerca dos seus resultados pessoais ou para fins científicos, estatísticos ou históricos.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Que vantagens tem para mim a minha participação?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O estudo contribuirá para o desenvolvimento de práticas de trabalho seguras no seu local de trabalho. Ficará a con</w:t>
      </w:r>
      <w:r w:rsidRPr="00203685">
        <w:rPr>
          <w:rFonts w:asciiTheme="majorHAnsi" w:hAnsiTheme="majorHAnsi"/>
          <w:sz w:val="24"/>
        </w:rPr>
        <w:t xml:space="preserve">hecer o seu grau de exposição pessoal ao crómio e ser-lhe-ão fornecidas orientações para o reduzir.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Há riscos inerentes à minha participação na HBM4EU?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Todas as amostras serão colhidas por profissionais de saúde qualificados e com formação específica. Nã</w:t>
      </w:r>
      <w:r w:rsidRPr="00203685">
        <w:rPr>
          <w:rFonts w:asciiTheme="majorHAnsi" w:hAnsiTheme="majorHAnsi"/>
          <w:sz w:val="24"/>
        </w:rPr>
        <w:t xml:space="preserve">o há quaisquer riscos, além de algum eventual desconforto durante a colheita.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 xml:space="preserve">Poderei abandonar o estudo?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Aconselhamo-lo a discutir connosco quaisquer preocupações que possa ter; contudo, pode abandonar o estudo a qualquer momento e sem consequências. N</w:t>
      </w:r>
      <w:r w:rsidRPr="00203685">
        <w:rPr>
          <w:rFonts w:asciiTheme="majorHAnsi" w:hAnsiTheme="majorHAnsi"/>
          <w:sz w:val="24"/>
        </w:rPr>
        <w:t xml:space="preserve">ão obstante, a equipa de investigação reserva-se o direito de utilizar confidencialmente as amostras colhidas antes de abandonar o estudo.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</w:p>
    <w:p w:rsidR="00386265" w:rsidRPr="00203685" w:rsidP="00E76CA4">
      <w:pPr>
        <w:keepNext/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O estudo implica custos?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sz w:val="24"/>
        </w:rPr>
        <w:t>O estudo não lhe acarreta quaisquer custos. Participará no estudo durante o seu horário no</w:t>
      </w:r>
      <w:r w:rsidRPr="00203685">
        <w:rPr>
          <w:rFonts w:asciiTheme="majorHAnsi" w:hAnsiTheme="majorHAnsi"/>
          <w:sz w:val="24"/>
        </w:rPr>
        <w:t xml:space="preserve">rmal de trabalho (com exceção da colheita de amostras da primeira urina da manhã). O tempo consagrado ao estudo não será deduzido do seu salário.   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>Quem devo contactar se tiver dúvidas ou pretender mais informações sobre o estudo relativo ao crómio hexav</w:t>
      </w:r>
      <w:r w:rsidRPr="00203685">
        <w:rPr>
          <w:rFonts w:asciiTheme="majorHAnsi" w:hAnsiTheme="majorHAnsi"/>
          <w:b/>
          <w:sz w:val="24"/>
        </w:rPr>
        <w:t>alente?</w:t>
      </w:r>
    </w:p>
    <w:p w:rsidR="00386265" w:rsidRPr="00203685" w:rsidP="00F85ECB">
      <w:pPr>
        <w:spacing w:after="120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203685">
        <w:rPr>
          <w:rFonts w:asciiTheme="majorHAnsi" w:hAnsiTheme="majorHAnsi"/>
          <w:sz w:val="24"/>
        </w:rPr>
        <w:t>Queira contactar</w:t>
      </w:r>
      <w:r w:rsidRPr="00203685">
        <w:rPr>
          <w:rFonts w:asciiTheme="majorHAnsi" w:hAnsiTheme="majorHAnsi"/>
          <w:b/>
          <w:sz w:val="24"/>
        </w:rPr>
        <w:t xml:space="preserve"> </w:t>
      </w:r>
      <w:r w:rsidRPr="00203685">
        <w:rPr>
          <w:rFonts w:asciiTheme="majorHAnsi" w:hAnsiTheme="majorHAnsi"/>
          <w:sz w:val="24"/>
        </w:rPr>
        <w:t>[</w:t>
      </w:r>
      <w:r w:rsidRPr="00203685">
        <w:rPr>
          <w:rFonts w:asciiTheme="majorHAnsi" w:hAnsiTheme="majorHAnsi"/>
          <w:color w:val="FF0000"/>
          <w:sz w:val="24"/>
        </w:rPr>
        <w:t>Nome, Instituto Nacional de Coordenação do Estudo</w:t>
      </w:r>
      <w:r w:rsidRPr="00203685">
        <w:rPr>
          <w:rFonts w:asciiTheme="majorHAnsi" w:hAnsiTheme="majorHAnsi"/>
          <w:sz w:val="24"/>
        </w:rPr>
        <w:t>]</w:t>
      </w:r>
    </w:p>
    <w:p w:rsidR="00B37ADB" w:rsidRPr="00386265" w:rsidP="00E76CA4">
      <w:pPr>
        <w:tabs>
          <w:tab w:val="left" w:pos="3402"/>
        </w:tabs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r w:rsidRPr="00203685">
        <w:rPr>
          <w:rFonts w:asciiTheme="majorHAnsi" w:hAnsiTheme="majorHAnsi"/>
          <w:b/>
          <w:sz w:val="24"/>
        </w:rPr>
        <w:t xml:space="preserve">Tel.: </w:t>
      </w:r>
      <w:r w:rsidRPr="00203685">
        <w:rPr>
          <w:rFonts w:asciiTheme="majorHAnsi" w:hAnsiTheme="majorHAnsi"/>
          <w:sz w:val="24"/>
        </w:rPr>
        <w:t>[</w:t>
      </w:r>
      <w:r w:rsidRPr="00203685">
        <w:rPr>
          <w:rFonts w:asciiTheme="majorHAnsi" w:hAnsiTheme="majorHAnsi"/>
          <w:color w:val="FF0000"/>
          <w:sz w:val="24"/>
        </w:rPr>
        <w:t>xxxxxxx</w:t>
      </w:r>
      <w:r w:rsidRPr="00203685">
        <w:rPr>
          <w:rFonts w:asciiTheme="majorHAnsi" w:hAnsiTheme="majorHAnsi"/>
          <w:sz w:val="24"/>
        </w:rPr>
        <w:t>]</w:t>
      </w:r>
      <w:r w:rsidRPr="00203685">
        <w:tab/>
      </w:r>
      <w:r w:rsidRPr="00203685">
        <w:rPr>
          <w:rFonts w:asciiTheme="majorHAnsi" w:hAnsiTheme="majorHAnsi"/>
          <w:b/>
          <w:sz w:val="24"/>
        </w:rPr>
        <w:t xml:space="preserve">Endereço de correio eletrónico </w:t>
      </w:r>
      <w:r w:rsidRPr="00203685">
        <w:rPr>
          <w:rFonts w:asciiTheme="majorHAnsi" w:hAnsiTheme="majorHAnsi"/>
          <w:sz w:val="24"/>
        </w:rPr>
        <w:t>[</w:t>
      </w:r>
      <w:r w:rsidRPr="00203685">
        <w:rPr>
          <w:rFonts w:asciiTheme="majorHAnsi" w:hAnsiTheme="majorHAnsi"/>
          <w:color w:val="FF0000"/>
          <w:sz w:val="24"/>
        </w:rPr>
        <w:t>xxxxxxx</w:t>
      </w:r>
      <w:r w:rsidRPr="00203685">
        <w:rPr>
          <w:rFonts w:asciiTheme="majorHAnsi" w:hAnsiTheme="majorHAnsi"/>
          <w:sz w:val="24"/>
        </w:rPr>
        <w:t>]</w:t>
      </w:r>
    </w:p>
    <w:sectPr w:rsidSect="001C6E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98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0151083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F85ECB" w:rsidRPr="00203685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203685">
          <w:rPr>
            <w:rFonts w:asciiTheme="majorHAnsi" w:hAnsiTheme="majorHAnsi"/>
            <w:sz w:val="20"/>
            <w:szCs w:val="20"/>
          </w:rPr>
          <w:fldChar w:fldCharType="begin"/>
        </w:r>
        <w:r w:rsidRPr="0020368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203685">
          <w:rPr>
            <w:rFonts w:asciiTheme="majorHAnsi" w:hAnsiTheme="majorHAnsi"/>
            <w:sz w:val="20"/>
            <w:szCs w:val="20"/>
          </w:rPr>
          <w:fldChar w:fldCharType="separate"/>
        </w:r>
        <w:r w:rsidR="00203685">
          <w:rPr>
            <w:rFonts w:asciiTheme="majorHAnsi" w:hAnsiTheme="majorHAnsi"/>
            <w:noProof/>
            <w:sz w:val="20"/>
            <w:szCs w:val="20"/>
          </w:rPr>
          <w:t>4</w:t>
        </w:r>
        <w:r w:rsidRPr="00203685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20368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 w:rsidRPr="00203685" w:rsidP="00AF4C2B">
    <w:pPr>
      <w:pStyle w:val="Header"/>
      <w:tabs>
        <w:tab w:val="left" w:pos="826"/>
      </w:tabs>
      <w:rPr>
        <w:rFonts w:ascii="Calibri" w:hAnsi="Calibri" w:cs="Calibri"/>
        <w:noProof/>
        <w:sz w:val="20"/>
        <w:szCs w:val="20"/>
      </w:rPr>
    </w:pPr>
    <w:r w:rsidRPr="00203685">
      <w:rPr>
        <w:noProof/>
        <w:color w:val="0000FF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17" name="Picture 17" descr="Image result for horizon 2020 high resolution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229157" name="irc_mi" descr="Image result for horizon 2020 high resolution">
                    <a:hlinkClick xmlns:a="http://schemas.openxmlformats.org/drawingml/2006/main" xmlns:r="http://schemas.openxmlformats.org/officeDocument/2006/relationships" r:id="rId1"/>
                  </pic:cNvPr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685"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685"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1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506389" name="eu flag.pn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3685"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2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403262" name="HBM press release_sfondo.jpg"/>
                  <pic:cNvPicPr/>
                </pic:nvPicPr>
                <pic:blipFill>
                  <a:blip xmlns:r="http://schemas.openxmlformats.org/officeDocument/2006/relationships" r:embed="rId5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C2B" w:rsidRPr="00203685" w:rsidP="00AF4C2B">
    <w:pPr>
      <w:pStyle w:val="Header"/>
      <w:tabs>
        <w:tab w:val="left" w:pos="826"/>
      </w:tabs>
      <w:rPr>
        <w:rFonts w:ascii="Calibri" w:hAnsi="Calibri" w:cs="Calibri"/>
        <w:noProof/>
        <w:sz w:val="20"/>
        <w:szCs w:val="20"/>
      </w:rPr>
    </w:pPr>
  </w:p>
  <w:p w:rsidR="00AF4C2B" w:rsidRPr="00203685" w:rsidP="00AF4C2B">
    <w:pPr>
      <w:pStyle w:val="Header"/>
      <w:tabs>
        <w:tab w:val="left" w:pos="826"/>
      </w:tabs>
      <w:rPr>
        <w:rFonts w:ascii="Calibri" w:hAnsi="Calibri" w:cs="Calibri"/>
        <w:noProof/>
        <w:sz w:val="20"/>
        <w:szCs w:val="20"/>
      </w:rPr>
    </w:pPr>
  </w:p>
  <w:p w:rsidR="00AF4C2B" w:rsidRPr="00203685" w:rsidP="00AF4C2B">
    <w:pPr>
      <w:pStyle w:val="Header"/>
      <w:tabs>
        <w:tab w:val="left" w:pos="826"/>
      </w:tabs>
      <w:rPr>
        <w:rFonts w:ascii="Calibri" w:hAnsi="Calibri" w:cs="Calibri"/>
        <w:noProof/>
        <w:sz w:val="20"/>
        <w:szCs w:val="20"/>
      </w:rPr>
    </w:pPr>
  </w:p>
  <w:p w:rsidR="007C3445" w:rsidRPr="00203685" w:rsidP="00AF4C2B">
    <w:pPr>
      <w:pStyle w:val="Header"/>
      <w:tabs>
        <w:tab w:val="left" w:pos="826"/>
      </w:tabs>
    </w:pPr>
    <w:r w:rsidRPr="00203685">
      <w:rPr>
        <w:rFonts w:ascii="Calibri" w:hAnsi="Calibri"/>
        <w:noProof/>
        <w:sz w:val="20"/>
      </w:rPr>
      <w:t>LOGÓTIPO DO GOVERNO / INSTITUTO</w:t>
    </w:r>
    <w:r w:rsidRPr="0020368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4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538E7"/>
    <w:multiLevelType w:val="hybridMultilevel"/>
    <w:tmpl w:val="8FE832CC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C4D90"/>
    <w:multiLevelType w:val="hybridMultilevel"/>
    <w:tmpl w:val="9C0E65B2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73C"/>
    <w:multiLevelType w:val="hybridMultilevel"/>
    <w:tmpl w:val="4EE897C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1C6E19"/>
    <w:rsid w:val="00203685"/>
    <w:rsid w:val="0023564A"/>
    <w:rsid w:val="00262F43"/>
    <w:rsid w:val="002E0934"/>
    <w:rsid w:val="003033B9"/>
    <w:rsid w:val="00323FA2"/>
    <w:rsid w:val="003858B1"/>
    <w:rsid w:val="00386265"/>
    <w:rsid w:val="0043539D"/>
    <w:rsid w:val="004731E4"/>
    <w:rsid w:val="005527D2"/>
    <w:rsid w:val="005B2095"/>
    <w:rsid w:val="005C415A"/>
    <w:rsid w:val="006014A7"/>
    <w:rsid w:val="006157F6"/>
    <w:rsid w:val="0065154F"/>
    <w:rsid w:val="006E4B6F"/>
    <w:rsid w:val="00706345"/>
    <w:rsid w:val="007C3445"/>
    <w:rsid w:val="0080188A"/>
    <w:rsid w:val="00846CDC"/>
    <w:rsid w:val="00885B63"/>
    <w:rsid w:val="008B1CCF"/>
    <w:rsid w:val="008D2752"/>
    <w:rsid w:val="008F258C"/>
    <w:rsid w:val="00915567"/>
    <w:rsid w:val="009C7F4E"/>
    <w:rsid w:val="00A5072F"/>
    <w:rsid w:val="00AB13B9"/>
    <w:rsid w:val="00AC1DDF"/>
    <w:rsid w:val="00AF4C2B"/>
    <w:rsid w:val="00B37ADB"/>
    <w:rsid w:val="00B84D2E"/>
    <w:rsid w:val="00BB0B14"/>
    <w:rsid w:val="00C502AA"/>
    <w:rsid w:val="00C52782"/>
    <w:rsid w:val="00CD3D77"/>
    <w:rsid w:val="00CF2051"/>
    <w:rsid w:val="00E76CA4"/>
    <w:rsid w:val="00E8163C"/>
    <w:rsid w:val="00EB552F"/>
    <w:rsid w:val="00ED39A5"/>
    <w:rsid w:val="00ED740B"/>
    <w:rsid w:val="00EE594F"/>
    <w:rsid w:val="00F31846"/>
    <w:rsid w:val="00F85ECB"/>
    <w:rsid w:val="00F8631D"/>
    <w:rsid w:val="00F929FF"/>
  </w:rsids>
  <m:mathPr>
    <m:mathFont m:val="Cambria Math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pt-PT" w:eastAsia="pt-PT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6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626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8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" TargetMode="External" /><Relationship Id="rId2" Type="http://schemas.openxmlformats.org/officeDocument/2006/relationships/image" Target="media/image1.jpeg" /><Relationship Id="rId3" Type="http://schemas.openxmlformats.org/officeDocument/2006/relationships/image" Target="media/image2.png" /><Relationship Id="rId4" Type="http://schemas.openxmlformats.org/officeDocument/2006/relationships/image" Target="media/image3.png" /><Relationship Id="rId5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0675-6C2F-44F1-B9AD-F00DADC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23</cp:revision>
  <dcterms:created xsi:type="dcterms:W3CDTF">2017-12-18T16:11:00Z</dcterms:created>
  <dcterms:modified xsi:type="dcterms:W3CDTF">2018-01-12T12:57:00Z</dcterms:modified>
</cp:coreProperties>
</file>