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E0753" w:rsidRPr="008E0753" w:rsidP="008E0753" w14:paraId="5EBF51C8" w14:textId="7777777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</w:rPr>
        <w:t>Trabalhar de forma segura com o crómio</w:t>
      </w:r>
    </w:p>
    <w:p w:rsidR="008E0753" w:rsidRPr="008E0753" w:rsidP="008E0753" w14:paraId="6CB15945" w14:textId="7777777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8E0753" w:rsidRPr="008E0753" w:rsidP="008E0753" w14:paraId="6ABA9051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Trabalhar com determinadas formas de crómio (Cr) pode ter efeitos para a saúde. Este folheto contém informações sobre os possíveis efeitos para a saúde, as medidas preventivas que o seu empregador é obrigado a aplicar e as precauções que deve tomar para proteger a sua saúde. </w:t>
      </w:r>
    </w:p>
    <w:p w:rsidR="008E0753" w:rsidRPr="008E0753" w:rsidP="00867023" w14:paraId="277D3693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O que é o crómio (Cr)?</w:t>
      </w:r>
    </w:p>
    <w:p w:rsidR="008E0753" w:rsidRPr="008E0753" w:rsidP="00867023" w14:paraId="5F6989CC" w14:textId="7777777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O Cr é um elemento químico relativamente comum. Encontra-se naturalmente em rochas, no solo, em plantas, em animais e em pós e gases vulcânicos. Os compostos de Cr formam um grupo grande e variado de produtos químicos. Podem ser sólidos, líquidos ou gasosos e não têm sabor nem cheiro. As formas mais significativas de Cr são o crómio metálico (Cr (0)), o crómio trivalente (Cr (III)) e o crómio hexavalente (Cr (VI)). Em determinadas condições, as formas de Cr podem mudar de uma forma para outra.</w:t>
      </w:r>
    </w:p>
    <w:p w:rsidR="008E0753" w:rsidRPr="008E0753" w:rsidP="008E0753" w14:paraId="7B6F772E" w14:textId="77777777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O metal de Cr é acinzentado e brilhante. Possui alta resistência à corrosão e dureza e é utilizado principalmente na produção de aço inoxidável e na cromagem. O metal de Cr não é prejudicial para a saúde humana.</w:t>
      </w:r>
    </w:p>
    <w:p w:rsidR="008E0753" w:rsidRPr="008E0753" w:rsidP="008E0753" w14:paraId="7E3C2634" w14:textId="44004188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O Cr(III) está presente naturalmente em organismos vivos. É um nutriente essencial em quantidades muito reduzidas (oligoelemento). Pode ser encontrado em alguns processos industriais e tem uma toxicidade reduzida.</w:t>
      </w:r>
    </w:p>
    <w:p w:rsidR="008E0753" w:rsidRPr="008E0753" w:rsidP="008E0753" w14:paraId="64929AE4" w14:textId="77777777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O Cr(VI) é muito tóxico. Está classificado como agente cancerígeno, o que significa que pode provocar cancro.</w:t>
      </w:r>
    </w:p>
    <w:p w:rsidR="008E0753" w:rsidRPr="008E0753" w:rsidP="00867023" w14:paraId="0F7A45F8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Em que processos e produtos industriais se pode encontrar encontrar o Cr(VI)?</w:t>
      </w:r>
    </w:p>
    <w:p w:rsidR="008E0753" w:rsidRPr="008E0753" w:rsidP="008E0753" w14:paraId="48FC745A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Na produção e utilização de aço inoxidável e outras ligas de crómio (e durante a soldadura e o corte das mesmas).</w:t>
      </w:r>
    </w:p>
    <w:p w:rsidR="008E0753" w:rsidRPr="008E0753" w:rsidP="008E0753" w14:paraId="18086D5A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Galvanoplastia.</w:t>
      </w:r>
    </w:p>
    <w:p w:rsidR="008E0753" w:rsidRPr="008E0753" w:rsidP="008E0753" w14:paraId="1657C235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Produção de corantes, tintas, cerâmica e plásticos que utilizam pigmentos de Cr.</w:t>
      </w:r>
    </w:p>
    <w:p w:rsidR="008E0753" w:rsidRPr="008E0753" w:rsidP="008E0753" w14:paraId="3FC21AAF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Curtimento de couro.</w:t>
      </w:r>
    </w:p>
    <w:p w:rsidR="008E0753" w:rsidRPr="008E0753" w:rsidP="008E0753" w14:paraId="14868498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Tratamento de madeira.</w:t>
      </w:r>
    </w:p>
    <w:p w:rsidR="008E0753" w:rsidRPr="008E0753" w:rsidP="008E0753" w14:paraId="0799669B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Primários que contêm cromato e outros revestimentos de superfícies.  </w:t>
      </w:r>
    </w:p>
    <w:p w:rsidR="008E0753" w:rsidRPr="008E0753" w:rsidP="008E0753" w14:paraId="2302024E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Fusão do minério ferrocrómio.</w:t>
      </w:r>
    </w:p>
    <w:p w:rsidR="008E0753" w:rsidRPr="008E0753" w:rsidP="008E0753" w14:paraId="1F1F3471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Impurezas no cimento Portland, entre outros. </w:t>
      </w:r>
    </w:p>
    <w:p w:rsidR="008E0753" w:rsidRPr="008E0753" w:rsidP="00867023" w14:paraId="2386702B" w14:textId="77777777">
      <w:pPr>
        <w:spacing w:before="240"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De que forma o Cr(VI) pode entrar no organismo?</w:t>
      </w:r>
    </w:p>
    <w:p w:rsidR="008E0753" w:rsidRPr="008E0753" w:rsidP="008E0753" w14:paraId="017866F3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Por inalação do Cr(VI) transmitido pelo ar na forma de poeiras, fumos ou névoas contaminados. </w:t>
      </w:r>
    </w:p>
    <w:p w:rsidR="008E0753" w:rsidRPr="008E0753" w:rsidP="008E0753" w14:paraId="03123C64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Por contacto com a pele através do manuseamento de soluções, revestimentos ou cimentos contendo Cr(VI).</w:t>
      </w:r>
    </w:p>
    <w:p w:rsidR="008E0753" w:rsidRPr="008E0753" w:rsidP="008E0753" w14:paraId="6DA38013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Por ingestão, através do manuseamento de alimentos contaminados com poeiras acumuladas nas mãos. </w:t>
      </w:r>
    </w:p>
    <w:p w:rsidR="008E0753" w:rsidRPr="008E0753" w:rsidP="00867023" w14:paraId="11B09092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De que forma o Cr(VI) pode ser nocivo?  </w:t>
      </w:r>
    </w:p>
    <w:p w:rsidR="008E0753" w:rsidRPr="008E0753" w:rsidP="00867023" w14:paraId="4720878C" w14:textId="77777777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Tal como acontece com todas as exposições a produtos químicos, o risco de exposição ao Cr(VI) depende das suas características e dos seus hábitos pessoais, da quantidade da substância química </w:t>
      </w:r>
      <w:r>
        <w:rPr>
          <w:rFonts w:asciiTheme="majorHAnsi" w:hAnsiTheme="majorHAnsi"/>
          <w:sz w:val="24"/>
        </w:rPr>
        <w:t>a que esteve exposto, da forma como esteve exposto, do tempo e da frequência da exposição e da presença ou não de outros produtos químicos.</w:t>
      </w:r>
    </w:p>
    <w:p w:rsidR="008E0753" w:rsidRPr="008E0753" w:rsidP="00867023" w14:paraId="10C58BB6" w14:textId="77777777">
      <w:pPr>
        <w:spacing w:before="120"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As exposições únicas a compostos de Cr(VI) podem provocar:</w:t>
      </w:r>
    </w:p>
    <w:p w:rsidR="008E0753" w:rsidRPr="008E0753" w:rsidP="008E0753" w14:paraId="058D84CF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Irritação e inflamação do nariz e das vias respiratórias superiores.</w:t>
      </w:r>
    </w:p>
    <w:p w:rsidR="008E0753" w:rsidRPr="008E0753" w:rsidP="008E0753" w14:paraId="212CBBD0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Irritação, queimaduras ou úlceras (feridas) da pele, se a exposição tiver ocorrido através da pele. </w:t>
      </w:r>
    </w:p>
    <w:p w:rsidR="008E0753" w:rsidRPr="008E0753" w:rsidP="008E0753" w14:paraId="4C2DE065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Lesões oculares devido a salpicos.</w:t>
      </w:r>
    </w:p>
    <w:p w:rsidR="008E0753" w:rsidRPr="008E0753" w:rsidP="008E0753" w14:paraId="1706679F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8E0753" w:rsidP="008E0753" w14:paraId="6BC20BEF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A exposição repetida ou prolongada a compostos de Cr(VI) pode provocar: </w:t>
      </w:r>
    </w:p>
    <w:p w:rsidR="008E0753" w:rsidRPr="008E0753" w:rsidP="008E0753" w14:paraId="0E50D37A" w14:textId="77777777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Cancro do pulmão.</w:t>
      </w:r>
    </w:p>
    <w:p w:rsidR="008E0753" w:rsidRPr="008E0753" w:rsidP="008E0753" w14:paraId="4DCDA857" w14:textId="3039723B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Lesões no nariz, incluindo úlceras (feridas) e buracos no tecido que separa as narinas.</w:t>
      </w:r>
    </w:p>
    <w:p w:rsidR="008E0753" w:rsidRPr="008E0753" w:rsidP="008E0753" w14:paraId="65BFF436" w14:textId="42C8D1CC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Inflamação dos pulmões.</w:t>
      </w:r>
    </w:p>
    <w:p w:rsidR="008E0753" w:rsidRPr="008E0753" w:rsidP="008E0753" w14:paraId="100896F5" w14:textId="26E01129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Reações alérgicas da pele (dermatite) e das vias respiratórias (por exemplo, pieira).</w:t>
      </w:r>
    </w:p>
    <w:p w:rsidR="008E0753" w:rsidRPr="008E0753" w:rsidP="008E0753" w14:paraId="3493F897" w14:textId="77777777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Lesões nos rins. </w:t>
      </w:r>
    </w:p>
    <w:p w:rsidR="008E0753" w:rsidRPr="008E0753" w:rsidP="008E0753" w14:paraId="2BB48C8D" w14:textId="7CFF0F8F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Potenciais efeitos na reprodução (por exemplo, fertilidade masculina, desenvolvimento fetal).</w:t>
      </w:r>
    </w:p>
    <w:p w:rsidR="008E0753" w:rsidP="008E0753" w14:paraId="4880D2F1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277D8F" w:rsidP="00277D8F" w14:paraId="470CC252" w14:textId="27A97334">
      <w:pPr>
        <w:spacing w:after="240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</w:rPr>
        <w:t>O que devem fazer os empregadores para proteger os seus trabalhadores</w:t>
      </w:r>
      <w:bookmarkStart w:id="0" w:name="_GoBack"/>
      <w:bookmarkEnd w:id="0"/>
      <w:commentRangeStart w:id="1"/>
      <w:r w:rsidRPr="008E0753">
        <w:rPr>
          <w:rFonts w:asciiTheme="majorHAnsi" w:hAnsiTheme="majorHAnsi"/>
          <w:b/>
          <w:sz w:val="24"/>
          <w:szCs w:val="24"/>
          <w:lang w:val="en-US"/>
        </w:rPr>
        <w:t>?</w:t>
      </w:r>
      <w:commentRangeEnd w:id="1"/>
      <w:r w:rsidRPr="008E0753">
        <w:rPr>
          <w:rFonts w:asciiTheme="majorHAnsi" w:hAnsiTheme="majorHAnsi"/>
          <w:sz w:val="24"/>
          <w:szCs w:val="24"/>
          <w:lang w:val="en-US"/>
        </w:rPr>
        <w:commentReference w:id="1"/>
      </w:r>
    </w:p>
    <w:p w:rsidR="008E0753" w:rsidRPr="008E0753" w:rsidP="008E0753" w14:paraId="3580B3C3" w14:textId="221D047C">
      <w:pPr>
        <w:spacing w:before="120"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A legislação [</w:t>
      </w:r>
      <w:r>
        <w:rPr>
          <w:rFonts w:asciiTheme="majorHAnsi" w:hAnsiTheme="majorHAnsi"/>
          <w:i/>
          <w:color w:val="FF0000"/>
          <w:sz w:val="24"/>
        </w:rPr>
        <w:t>indicar a legislação da UE/nacional</w:t>
      </w:r>
      <w:r>
        <w:rPr>
          <w:rFonts w:asciiTheme="majorHAnsi" w:hAnsiTheme="majorHAnsi"/>
          <w:sz w:val="24"/>
        </w:rPr>
        <w:t xml:space="preserve">] exige que os empregadores: </w:t>
      </w:r>
    </w:p>
    <w:p w:rsidR="008E0753" w:rsidRPr="008E0753" w:rsidP="008E0753" w14:paraId="497D4ED5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Avaliem os riscos para a sua saúde e as precauções necessárias para a sua proteção. </w:t>
      </w:r>
    </w:p>
    <w:p w:rsidR="008E0753" w:rsidRPr="008E0753" w:rsidP="008E0753" w14:paraId="67462A34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Impeçam que seja exposto a Cr(VI) ou, quando não for possível fazê-lo razoavelmente, controlem adequadamente a sua exposição.</w:t>
      </w:r>
    </w:p>
    <w:p w:rsidR="008E0753" w:rsidRPr="008E0753" w:rsidP="008E0753" w14:paraId="09CDEB27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Reduzam a sua exposição ao Cr e aos seus compostos aéreos na medida do que for razoavelmente possível e, em qualquer caso, abaixo dos seguintes limites de exposição no local de trabalho:</w:t>
      </w:r>
    </w:p>
    <w:p w:rsidR="008E0753" w:rsidRPr="008E0753" w:rsidP="008E0753" w14:paraId="3BC2FDFA" w14:textId="0CDDB36F">
      <w:pPr>
        <w:pStyle w:val="ListParagraph"/>
        <w:numPr>
          <w:ilvl w:val="1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para compostos de Cr (VI), </w:t>
      </w:r>
      <w:r>
        <w:rPr>
          <w:rFonts w:asciiTheme="majorHAnsi" w:hAnsiTheme="majorHAnsi"/>
          <w:color w:val="FF0000"/>
          <w:sz w:val="24"/>
        </w:rPr>
        <w:t>XX</w:t>
      </w:r>
      <w:r>
        <w:rPr>
          <w:rFonts w:asciiTheme="majorHAnsi" w:hAnsiTheme="majorHAnsi"/>
          <w:sz w:val="24"/>
        </w:rPr>
        <w:t xml:space="preserve"> miligramas por metro cúbico (mg/m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) de ar em média para um período de 8 horas;</w:t>
      </w:r>
    </w:p>
    <w:p w:rsidR="008E0753" w:rsidRPr="008E0753" w:rsidP="008E0753" w14:paraId="42962C3F" w14:textId="77777777">
      <w:pPr>
        <w:pStyle w:val="ListParagraph"/>
        <w:numPr>
          <w:ilvl w:val="1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para outros compostos de crómio, </w:t>
      </w:r>
      <w:r>
        <w:rPr>
          <w:rFonts w:asciiTheme="majorHAnsi" w:hAnsiTheme="majorHAnsi"/>
          <w:color w:val="FF0000"/>
          <w:sz w:val="24"/>
        </w:rPr>
        <w:t>XX</w:t>
      </w:r>
      <w:r>
        <w:rPr>
          <w:rFonts w:asciiTheme="majorHAnsi" w:hAnsiTheme="majorHAnsi"/>
          <w:sz w:val="24"/>
        </w:rPr>
        <w:t xml:space="preserve"> mg/m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 em média para um período de 8 horas.  </w:t>
      </w:r>
    </w:p>
    <w:p w:rsidR="008E0753" w:rsidRPr="008E0753" w:rsidP="008E0753" w14:paraId="162C5138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Mantenham todos os sistemas controlos de fumos e poeiras em boas condições de funcionamento.</w:t>
      </w:r>
    </w:p>
    <w:p w:rsidR="008E0753" w:rsidRPr="008E0753" w:rsidP="008E0753" w14:paraId="3D348D23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Disponham de testes para verificar o ajuste dos respiradores.</w:t>
      </w:r>
    </w:p>
    <w:p w:rsidR="008E0753" w:rsidRPr="008E0753" w:rsidP="008E0753" w14:paraId="24174F9C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Determinem a quantidade Cr a que está exposto, normalmente através de um programa de controlo, e comuniquem os resultados . </w:t>
      </w:r>
    </w:p>
    <w:p w:rsidR="008E0753" w:rsidRPr="008E0753" w:rsidP="008E0753" w14:paraId="2D55C99F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Mandem realizar os exames de saúde necessários. </w:t>
      </w:r>
    </w:p>
    <w:p w:rsidR="008E0753" w:rsidRPr="008E0753" w:rsidP="00307575" w14:paraId="4F24AA35" w14:textId="77777777">
      <w:pPr>
        <w:pStyle w:val="ListParagraph"/>
        <w:numPr>
          <w:ilvl w:val="0"/>
          <w:numId w:val="1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Informem, instruam e formem todos os funcionários que possam estar expostos ao crómio. </w:t>
      </w:r>
    </w:p>
    <w:p w:rsidR="008E0753" w:rsidRPr="008E0753" w:rsidP="008E0753" w14:paraId="4CA29E1A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8E0753" w:rsidP="008E0753" w14:paraId="15982609" w14:textId="7777777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O que deve fazer caso trabalhe com processos que envolvam Cr(VI)?</w:t>
      </w:r>
    </w:p>
    <w:p w:rsidR="008E0753" w:rsidRPr="003E4F9C" w:rsidP="003E4F9C" w14:paraId="2B07DB19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Utilize o equipamento de extração ou outras medidas de controlo corretamente. </w:t>
      </w:r>
    </w:p>
    <w:p w:rsidR="008E0753" w:rsidRPr="003E4F9C" w:rsidP="003E4F9C" w14:paraId="676D200D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Utilize o vestuário e o equipamento de proteção fornecidos.</w:t>
      </w:r>
    </w:p>
    <w:p w:rsidR="008E0753" w:rsidRPr="003E4F9C" w:rsidP="003E4F9C" w14:paraId="607387FC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Utilize sempre as instalações de lavagem disponíveis, que devem ser adequadas e adaptadas às suas necessidades. </w:t>
      </w:r>
    </w:p>
    <w:p w:rsidR="008E0753" w:rsidRPr="003E4F9C" w:rsidP="003E4F9C" w14:paraId="4B34B2A7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Se tiver de utilizar um respirador, certifique-se de que:</w:t>
      </w:r>
    </w:p>
    <w:p w:rsidR="008E0753" w:rsidRPr="003E4F9C" w:rsidP="003E4F9C" w14:paraId="3FB67DEB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fica bem ajustado; </w:t>
      </w:r>
    </w:p>
    <w:p w:rsidR="008E0753" w:rsidRPr="003E4F9C" w:rsidP="003E4F9C" w14:paraId="570984A0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caso se trate de uma máscara com ajuste, que a testou e que tem o rosto bem barbeado; </w:t>
      </w:r>
    </w:p>
    <w:p w:rsidR="008E0753" w:rsidRPr="003E4F9C" w:rsidP="003E4F9C" w14:paraId="2331C951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está limpo e em boas condições de funcionamento; </w:t>
      </w:r>
    </w:p>
    <w:p w:rsidR="008E0753" w:rsidRPr="003E4F9C" w:rsidP="003E4F9C" w14:paraId="4804DE13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o filtro é mudado regularmente; </w:t>
      </w:r>
    </w:p>
    <w:p w:rsidR="008E0753" w:rsidRPr="003E4F9C" w:rsidP="003E4F9C" w14:paraId="7DC85AD6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é armazenado num local limpo e seco, de preferência num cacifo. </w:t>
      </w:r>
    </w:p>
    <w:p w:rsidR="008E0753" w:rsidRPr="003E4F9C" w:rsidP="003E4F9C" w14:paraId="0A51BF14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Comunique aos seus empregadores quaisquer defeitos dos espaços confinados, equipamentos de extração ou outras medidas de controlo.</w:t>
      </w:r>
    </w:p>
    <w:p w:rsidR="008E0753" w:rsidRPr="003E4F9C" w:rsidP="003E4F9C" w14:paraId="7D1C1523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Não coma, beba ou fume nas áreas de trabalho onde possa existir crómio.</w:t>
      </w:r>
    </w:p>
    <w:p w:rsidR="008E0753" w:rsidRPr="008762EB" w:rsidP="00867023" w14:paraId="497D9614" w14:textId="28E49E25">
      <w:pPr>
        <w:spacing w:before="120" w:after="120"/>
        <w:jc w:val="both"/>
        <w:rPr>
          <w:rFonts w:asciiTheme="majorHAnsi" w:hAnsiTheme="majorHAnsi"/>
          <w:b/>
          <w:sz w:val="24"/>
          <w:szCs w:val="24"/>
        </w:rPr>
      </w:pPr>
      <w:commentRangeStart w:id="2"/>
      <w:r>
        <w:rPr>
          <w:rFonts w:asciiTheme="majorHAnsi" w:hAnsiTheme="majorHAnsi"/>
          <w:b/>
          <w:sz w:val="24"/>
        </w:rPr>
        <w:t>Como pode obter mais informações?</w:t>
      </w:r>
      <w:commentRangeEnd w:id="2"/>
      <w:r>
        <w:rPr>
          <w:rFonts w:asciiTheme="majorHAnsi" w:hAnsiTheme="majorHAnsi"/>
          <w:sz w:val="24"/>
        </w:rPr>
        <w:commentReference w:id="2"/>
      </w:r>
      <w:r>
        <w:rPr>
          <w:rFonts w:asciiTheme="majorHAnsi" w:hAnsiTheme="majorHAnsi"/>
        </w:rPr>
        <w:t xml:space="preserve"> </w:t>
      </w:r>
    </w:p>
    <w:p w:rsidR="00B37ADB" w:rsidRPr="008E0753" w:rsidP="008E0753" w14:paraId="19F9E9AA" w14:textId="64D673F1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[</w:t>
      </w:r>
      <w:r>
        <w:rPr>
          <w:rFonts w:asciiTheme="majorHAnsi" w:hAnsiTheme="majorHAnsi"/>
          <w:i/>
          <w:color w:val="FF0000"/>
          <w:sz w:val="24"/>
        </w:rPr>
        <w:t>Adotar a nível nacional, conforme considerar adequado. Pode indicar a autoridade nacional competente em matéria de saúde e segurança no trabalho ou outro organismo oficial competente</w:t>
      </w:r>
      <w:r>
        <w:rPr>
          <w:rFonts w:asciiTheme="majorHAnsi" w:hAnsiTheme="majorHAnsi"/>
          <w:sz w:val="24"/>
        </w:rPr>
        <w:t>].</w:t>
      </w:r>
    </w:p>
    <w:sectPr w:rsidSect="00114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70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1" w:author="CY-SGL KATSONOURI, A." w:date="2017-11-30T14:41:00Z" w:initials="CY-AKS">
    <w:p w:rsidR="00277D8F" w:rsidRPr="003E4F9C" w:rsidP="00277D8F" w14:paraId="4F879888" w14:textId="77777777">
      <w:pPr>
        <w:pStyle w:val="CommentText"/>
        <w:rPr>
          <w:rFonts w:asciiTheme="majorHAnsi" w:hAnsiTheme="majorHAnsi"/>
        </w:rPr>
      </w:pPr>
      <w:r w:rsidRPr="003E4F9C">
        <w:rPr>
          <w:rStyle w:val="CommentReference"/>
          <w:rFonts w:asciiTheme="majorHAnsi" w:hAnsiTheme="majorHAnsi"/>
        </w:rPr>
        <w:annotationRef/>
      </w:r>
    </w:p>
    <w:p w:rsidR="00277D8F" w:rsidRPr="003E4F9C" w:rsidP="00277D8F" w14:paraId="1FF383F5" w14:textId="77777777">
      <w:pPr>
        <w:pStyle w:val="CommentText"/>
        <w:rPr>
          <w:rFonts w:asciiTheme="majorHAnsi" w:hAnsiTheme="majorHAnsi"/>
        </w:rPr>
      </w:pPr>
      <w:r w:rsidRPr="003E4F9C">
        <w:rPr>
          <w:rFonts w:asciiTheme="majorHAnsi" w:hAnsiTheme="majorHAnsi"/>
        </w:rPr>
        <w:t>WP8 Partners please personalize for your national study.</w:t>
      </w:r>
    </w:p>
    <w:p w:rsidR="00277D8F" w:rsidRPr="003E4F9C" w:rsidP="00277D8F" w14:paraId="5C1A0CB8" w14:textId="77777777">
      <w:pPr>
        <w:pStyle w:val="CommentText"/>
        <w:rPr>
          <w:rFonts w:asciiTheme="majorHAnsi" w:hAnsiTheme="majorHAnsi" w:cs="Microsoft Sans Serif"/>
          <w:color w:val="000000" w:themeColor="text1"/>
        </w:rPr>
      </w:pPr>
      <w:r w:rsidRPr="003E4F9C">
        <w:rPr>
          <w:rFonts w:asciiTheme="majorHAnsi" w:hAnsiTheme="majorHAnsi" w:cs="Microsoft Sans Serif"/>
          <w:color w:val="000000" w:themeColor="text1"/>
        </w:rPr>
        <w:t xml:space="preserve">Possible </w:t>
      </w:r>
    </w:p>
    <w:p w:rsidR="00277D8F" w:rsidRPr="003E4F9C" w:rsidP="00277D8F" w14:paraId="6E66C9F4" w14:textId="77777777">
      <w:pPr>
        <w:pStyle w:val="CommentText"/>
        <w:rPr>
          <w:rFonts w:asciiTheme="majorHAnsi" w:hAnsiTheme="majorHAnsi" w:cs="Microsoft Sans Serif"/>
          <w:color w:val="000000" w:themeColor="text1"/>
        </w:rPr>
      </w:pPr>
      <w:r w:rsidRPr="003E4F9C">
        <w:rPr>
          <w:rFonts w:asciiTheme="majorHAnsi" w:hAnsiTheme="majorHAnsi" w:cs="Microsoft Sans Serif"/>
          <w:color w:val="000000" w:themeColor="text1"/>
        </w:rPr>
        <w:t>EU Legal frame:</w:t>
      </w:r>
    </w:p>
    <w:p w:rsidR="00277D8F" w:rsidRPr="003E4F9C" w:rsidP="00277D8F" w14:paraId="785E910B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3E4F9C">
        <w:rPr>
          <w:rFonts w:asciiTheme="majorHAnsi" w:hAnsiTheme="majorHAnsi" w:cs="Microsoft Sans Serif"/>
          <w:color w:val="000000" w:themeColor="text1"/>
        </w:rPr>
        <w:t xml:space="preserve"> Directive 2004/37/EC </w:t>
      </w:r>
      <w:r w:rsidRPr="003E4F9C">
        <w:rPr>
          <w:rStyle w:val="CommentReference"/>
          <w:rFonts w:asciiTheme="majorHAnsi" w:hAnsiTheme="majorHAnsi"/>
        </w:rPr>
        <w:annotationRef/>
      </w:r>
      <w:r w:rsidRPr="003E4F9C">
        <w:rPr>
          <w:rFonts w:asciiTheme="majorHAnsi" w:hAnsiTheme="majorHAnsi"/>
        </w:rPr>
        <w:t xml:space="preserve"> “European Directive for carcinogens or mutagens at work”. Currently under revision.</w:t>
      </w:r>
    </w:p>
    <w:p w:rsidR="00277D8F" w:rsidRPr="003E4F9C" w:rsidP="00277D8F" w14:paraId="5EEF597E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3E4F9C">
        <w:rPr>
          <w:rFonts w:asciiTheme="majorHAnsi" w:hAnsiTheme="majorHAnsi"/>
        </w:rPr>
        <w:t>Directive 89/391/EC</w:t>
      </w:r>
    </w:p>
    <w:p w:rsidR="00277D8F" w:rsidRPr="003E4F9C" w:rsidP="00277D8F" w14:paraId="1F49126A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3E4F9C">
        <w:rPr>
          <w:rFonts w:asciiTheme="majorHAnsi" w:hAnsiTheme="majorHAnsi"/>
        </w:rPr>
        <w:t>Chemical Agents Directive</w:t>
      </w:r>
    </w:p>
    <w:p w:rsidR="00277D8F" w:rsidRPr="003E4F9C" w:rsidP="00277D8F" w14:paraId="5154259A" w14:textId="77777777">
      <w:pPr>
        <w:pStyle w:val="CommentText"/>
        <w:rPr>
          <w:rFonts w:asciiTheme="majorHAnsi" w:hAnsiTheme="majorHAnsi"/>
        </w:rPr>
      </w:pPr>
      <w:r w:rsidRPr="003E4F9C">
        <w:rPr>
          <w:rFonts w:asciiTheme="majorHAnsi" w:hAnsiTheme="majorHAnsi"/>
        </w:rPr>
        <w:t>MS  may have stricter national laws.</w:t>
      </w:r>
    </w:p>
    <w:p w:rsidR="00277D8F" w:rsidRPr="003E4F9C" w:rsidP="00277D8F" w14:paraId="24336E85">
      <w:pPr>
        <w:pStyle w:val="CommentText"/>
        <w:rPr>
          <w:rFonts w:asciiTheme="majorHAnsi" w:hAnsiTheme="majorHAnsi"/>
        </w:rPr>
      </w:pPr>
      <w:r w:rsidRPr="003E4F9C">
        <w:rPr>
          <w:rFonts w:asciiTheme="majorHAnsi" w:hAnsiTheme="majorHAnsi"/>
        </w:rPr>
        <w:t>Please define national Cr(VI) occupational limits for your country.</w:t>
      </w:r>
    </w:p>
  </w:comment>
  <w:comment w:id="2" w:author="CY-SGL KATSONOURI, A." w:date="2017-11-30T14:41:00Z" w:initials="CY-MOH">
    <w:p w:rsidR="008E0753" w:rsidRPr="00307575" w:rsidP="008762EB" w14:paraId="51B76AA7">
      <w:pPr>
        <w:spacing w:before="120" w:after="120"/>
        <w:jc w:val="both"/>
        <w:rPr>
          <w:rFonts w:asciiTheme="majorHAnsi" w:hAnsiTheme="majorHAnsi"/>
        </w:rPr>
      </w:pPr>
      <w:r>
        <w:rPr>
          <w:rStyle w:val="CommentReference"/>
          <w:rFonts w:asciiTheme="majorHAnsi" w:hAnsiTheme="majorHAnsi"/>
        </w:rPr>
        <w:annotationRef/>
      </w:r>
      <w:r w:rsidRPr="008762EB" w:rsidR="008762EB">
        <w:rPr>
          <w:rFonts w:asciiTheme="majorHAnsi" w:hAnsiTheme="majorHAnsi"/>
        </w:rPr>
        <w:t>WP8 Partners please personalize for your national study.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24336E85" w15:done="0"/>
  <w15:commentEx w15:paraId="51B76A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26725D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580590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307575" w:rsidRPr="00307575" w14:paraId="4B3F0BC6" w14:textId="20213269">
        <w:pPr>
          <w:pStyle w:val="Footer"/>
          <w:jc w:val="right"/>
          <w:rPr>
            <w:rFonts w:asciiTheme="majorHAnsi" w:hAnsiTheme="majorHAnsi"/>
            <w:sz w:val="20"/>
          </w:rPr>
        </w:pPr>
        <w:r w:rsidRPr="00307575">
          <w:rPr>
            <w:rFonts w:asciiTheme="majorHAnsi" w:hAnsiTheme="majorHAnsi"/>
            <w:sz w:val="20"/>
          </w:rPr>
          <w:fldChar w:fldCharType="begin"/>
        </w:r>
        <w:r w:rsidRPr="00307575">
          <w:rPr>
            <w:rFonts w:asciiTheme="majorHAnsi" w:hAnsiTheme="majorHAnsi"/>
            <w:sz w:val="20"/>
          </w:rPr>
          <w:instrText xml:space="preserve"> PAGE   \* MERGEFORMAT </w:instrText>
        </w:r>
        <w:r w:rsidRPr="00307575">
          <w:rPr>
            <w:rFonts w:asciiTheme="majorHAnsi" w:hAnsiTheme="majorHAnsi"/>
            <w:sz w:val="20"/>
          </w:rPr>
          <w:fldChar w:fldCharType="separate"/>
        </w:r>
        <w:r w:rsidR="00277D8F">
          <w:rPr>
            <w:rFonts w:asciiTheme="majorHAnsi" w:hAnsiTheme="majorHAnsi"/>
            <w:noProof/>
            <w:sz w:val="20"/>
          </w:rPr>
          <w:t>1</w:t>
        </w:r>
        <w:r w:rsidRPr="00307575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:rsidR="007C3445" w:rsidRPr="007C3445" w:rsidP="007C3445" w14:paraId="0D0F5691" w14:textId="72357712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584DB19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50BEC0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F224DF" w14:paraId="6F8B1D64" w14:textId="15B11FCC">
    <w:pPr>
      <w:pStyle w:val="Head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4690966</wp:posOffset>
          </wp:positionH>
          <wp:positionV relativeFrom="paragraph">
            <wp:posOffset>-131312</wp:posOffset>
          </wp:positionV>
          <wp:extent cx="1420495" cy="65214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46756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07665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Calibri" w:hAnsi="Calibri"/>
        <w:noProof/>
        <w:sz w:val="20"/>
      </w:rPr>
      <w:t xml:space="preserve">                      </w:t>
    </w:r>
  </w:p>
  <w:p w:rsidR="00C502AA" w14:paraId="06D809D9" w14:textId="7E53F3C8">
    <w:pPr>
      <w:pStyle w:val="Header"/>
      <w:rPr>
        <w:rFonts w:ascii="Calibri" w:hAnsi="Calibri" w:cs="Calibri"/>
        <w:noProof/>
        <w:sz w:val="20"/>
        <w:szCs w:val="20"/>
      </w:rPr>
    </w:pPr>
  </w:p>
  <w:p w:rsidR="007C3445" w14:paraId="0E0E8B8F" w14:textId="1B0E714C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275262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LOGÓTIPO DO GOVERNO/INSTITUTO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740402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9927E8"/>
    <w:multiLevelType w:val="hybridMultilevel"/>
    <w:tmpl w:val="54687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3A6"/>
    <w:multiLevelType w:val="hybridMultilevel"/>
    <w:tmpl w:val="F88E2BCE"/>
    <w:lvl w:ilvl="0">
      <w:start w:val="0"/>
      <w:numFmt w:val="bullet"/>
      <w:lvlText w:val="•"/>
      <w:lvlJc w:val="left"/>
      <w:pPr>
        <w:ind w:left="72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373A"/>
    <w:multiLevelType w:val="hybridMultilevel"/>
    <w:tmpl w:val="9E6AB68E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D42A3"/>
    <w:multiLevelType w:val="hybridMultilevel"/>
    <w:tmpl w:val="4E8C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AC8"/>
    <w:multiLevelType w:val="hybridMultilevel"/>
    <w:tmpl w:val="70922588"/>
    <w:lvl w:ilvl="0">
      <w:start w:val="0"/>
      <w:numFmt w:val="bullet"/>
      <w:lvlText w:val="•"/>
      <w:lvlJc w:val="left"/>
      <w:pPr>
        <w:ind w:left="72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04BA"/>
    <w:multiLevelType w:val="hybridMultilevel"/>
    <w:tmpl w:val="28DCE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23228"/>
    <w:multiLevelType w:val="hybridMultilevel"/>
    <w:tmpl w:val="C19C1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36AD8"/>
    <w:multiLevelType w:val="hybridMultilevel"/>
    <w:tmpl w:val="3BEE6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65F8"/>
    <w:multiLevelType w:val="hybridMultilevel"/>
    <w:tmpl w:val="86063864"/>
    <w:lvl w:ilvl="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B7A97"/>
    <w:multiLevelType w:val="hybridMultilevel"/>
    <w:tmpl w:val="09240FC4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3C4E6F"/>
    <w:multiLevelType w:val="hybridMultilevel"/>
    <w:tmpl w:val="8218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56F0"/>
    <w:multiLevelType w:val="hybridMultilevel"/>
    <w:tmpl w:val="E69C9748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A739C0"/>
    <w:multiLevelType w:val="hybridMultilevel"/>
    <w:tmpl w:val="717C4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C6336"/>
    <w:multiLevelType w:val="hybridMultilevel"/>
    <w:tmpl w:val="CE3EC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80BB3"/>
    <w:multiLevelType w:val="hybridMultilevel"/>
    <w:tmpl w:val="0E54F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1C7EE0"/>
    <w:rsid w:val="00277D8F"/>
    <w:rsid w:val="002E0934"/>
    <w:rsid w:val="003033B9"/>
    <w:rsid w:val="00307575"/>
    <w:rsid w:val="00323FA2"/>
    <w:rsid w:val="003858B1"/>
    <w:rsid w:val="003E4F9C"/>
    <w:rsid w:val="0043539D"/>
    <w:rsid w:val="004C5D39"/>
    <w:rsid w:val="004E367B"/>
    <w:rsid w:val="004E4AB3"/>
    <w:rsid w:val="0050046E"/>
    <w:rsid w:val="005B2095"/>
    <w:rsid w:val="005C415A"/>
    <w:rsid w:val="006014A7"/>
    <w:rsid w:val="006149DD"/>
    <w:rsid w:val="006157F6"/>
    <w:rsid w:val="006E4B6F"/>
    <w:rsid w:val="00706345"/>
    <w:rsid w:val="007C3445"/>
    <w:rsid w:val="0080188A"/>
    <w:rsid w:val="00867023"/>
    <w:rsid w:val="008762EB"/>
    <w:rsid w:val="00885B63"/>
    <w:rsid w:val="008B1CCF"/>
    <w:rsid w:val="008D2752"/>
    <w:rsid w:val="008E0753"/>
    <w:rsid w:val="008F258C"/>
    <w:rsid w:val="00915567"/>
    <w:rsid w:val="00A5072F"/>
    <w:rsid w:val="00AB13B9"/>
    <w:rsid w:val="00AC1DDF"/>
    <w:rsid w:val="00B37ADB"/>
    <w:rsid w:val="00B76E08"/>
    <w:rsid w:val="00B84D2E"/>
    <w:rsid w:val="00BB0B14"/>
    <w:rsid w:val="00C502AA"/>
    <w:rsid w:val="00C52782"/>
    <w:rsid w:val="00CF2051"/>
    <w:rsid w:val="00E5770E"/>
    <w:rsid w:val="00E8163C"/>
    <w:rsid w:val="00ED39A5"/>
    <w:rsid w:val="00ED740B"/>
    <w:rsid w:val="00EE594F"/>
    <w:rsid w:val="00F224DF"/>
    <w:rsid w:val="00F31846"/>
    <w:rsid w:val="00F8631D"/>
    <w:rsid w:val="00F929FF"/>
  </w:rsids>
  <m:mathPr>
    <m:mathFont m:val="Cambria Math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pt-PT" w:eastAsia="pt-PT" w:bidi="pt-P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pt-PT" w:eastAsia="pt-PT"/>
    </w:rPr>
  </w:style>
  <w:style w:type="paragraph" w:styleId="ListParagraph">
    <w:name w:val="List Paragraph"/>
    <w:basedOn w:val="Normal"/>
    <w:uiPriority w:val="34"/>
    <w:qFormat/>
    <w:rsid w:val="008E075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EB"/>
    <w:rPr>
      <w:rFonts w:ascii="Helvetica" w:hAnsi="Helvetica" w:eastAsiaTheme="minorEastAsia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EB"/>
    <w:rPr>
      <w:rFonts w:asciiTheme="minorHAnsi" w:eastAsiaTheme="minorHAnsi" w:hAnsiTheme="minorHAnsi" w:cstheme="minorBidi"/>
      <w:b/>
      <w:bCs/>
      <w:color w:val="auto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openxmlformats.org/officeDocument/2006/relationships/comments" Target="comment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FF1A-EEFA-4AB5-857B-5E9AE53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25</cp:revision>
  <dcterms:created xsi:type="dcterms:W3CDTF">2017-12-18T16:11:00Z</dcterms:created>
  <dcterms:modified xsi:type="dcterms:W3CDTF">2018-01-08T14:07:00Z</dcterms:modified>
</cp:coreProperties>
</file>